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67E7" w14:textId="725D7BB3" w:rsidR="00D6362F" w:rsidRPr="007177F0" w:rsidRDefault="000D262B" w:rsidP="00AE75E0">
      <w:pPr>
        <w:spacing w:line="288" w:lineRule="auto"/>
        <w:jc w:val="center"/>
      </w:pPr>
      <w:r w:rsidRPr="007177F0">
        <w:t>Before the</w:t>
      </w:r>
    </w:p>
    <w:p w14:paraId="075F878E" w14:textId="41EA9123" w:rsidR="000D262B" w:rsidRPr="007177F0" w:rsidRDefault="000D262B" w:rsidP="00AE75E0">
      <w:pPr>
        <w:spacing w:line="288" w:lineRule="auto"/>
        <w:jc w:val="center"/>
      </w:pPr>
      <w:r w:rsidRPr="007177F0">
        <w:t>Federal Communications Commission</w:t>
      </w:r>
    </w:p>
    <w:p w14:paraId="5ECEB405" w14:textId="0E722DC9" w:rsidR="000D262B" w:rsidRDefault="000D262B" w:rsidP="00AE75E0">
      <w:pPr>
        <w:spacing w:line="288" w:lineRule="auto"/>
        <w:jc w:val="center"/>
      </w:pPr>
      <w:r w:rsidRPr="007177F0">
        <w:t>Washington, D.C. 20554</w:t>
      </w:r>
    </w:p>
    <w:p w14:paraId="4D533E3A" w14:textId="77777777" w:rsidR="00817FE7" w:rsidRPr="007177F0" w:rsidRDefault="00817FE7" w:rsidP="00AE75E0">
      <w:pPr>
        <w:spacing w:line="288" w:lineRule="auto"/>
        <w:jc w:val="center"/>
      </w:pPr>
    </w:p>
    <w:p w14:paraId="0127C191" w14:textId="6D398993" w:rsidR="00D6362F" w:rsidRDefault="00D6362F" w:rsidP="00AE75E0">
      <w:pPr>
        <w:spacing w:line="288" w:lineRule="auto"/>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810"/>
        <w:gridCol w:w="3960"/>
      </w:tblGrid>
      <w:tr w:rsidR="00E72FE7" w14:paraId="2B82B932" w14:textId="77777777" w:rsidTr="00924973">
        <w:tc>
          <w:tcPr>
            <w:tcW w:w="4680" w:type="dxa"/>
            <w:vAlign w:val="center"/>
          </w:tcPr>
          <w:p w14:paraId="6B0148F6" w14:textId="232CC7D5" w:rsidR="00E72FE7" w:rsidRPr="007177F0" w:rsidRDefault="00E72FE7" w:rsidP="00AE75E0">
            <w:pPr>
              <w:spacing w:line="288" w:lineRule="auto"/>
            </w:pPr>
            <w:r w:rsidRPr="007177F0">
              <w:t>In the Matter of:</w:t>
            </w:r>
          </w:p>
          <w:p w14:paraId="07FAEA75" w14:textId="77777777" w:rsidR="00371B8A" w:rsidRPr="007177F0" w:rsidRDefault="00371B8A" w:rsidP="00AE75E0">
            <w:pPr>
              <w:spacing w:line="288" w:lineRule="auto"/>
            </w:pPr>
          </w:p>
          <w:p w14:paraId="3FB4F46A" w14:textId="716569AA" w:rsidR="00E72FE7" w:rsidRPr="007177F0" w:rsidRDefault="00E72FE7" w:rsidP="00AE75E0">
            <w:pPr>
              <w:spacing w:line="288" w:lineRule="auto"/>
              <w:rPr>
                <w:b/>
                <w:bCs/>
              </w:rPr>
            </w:pPr>
            <w:r w:rsidRPr="007177F0">
              <w:rPr>
                <w:b/>
                <w:bCs/>
              </w:rPr>
              <w:t>Promoting Efficient Use of Spectrum</w:t>
            </w:r>
            <w:r w:rsidRPr="007177F0">
              <w:rPr>
                <w:b/>
                <w:bCs/>
              </w:rPr>
              <w:br/>
              <w:t xml:space="preserve">through </w:t>
            </w:r>
            <w:bookmarkStart w:id="0" w:name="_Hlk109477598"/>
            <w:r w:rsidRPr="007177F0">
              <w:rPr>
                <w:b/>
                <w:bCs/>
              </w:rPr>
              <w:t xml:space="preserve">Improved Receiver </w:t>
            </w:r>
            <w:r w:rsidRPr="007177F0">
              <w:rPr>
                <w:b/>
                <w:bCs/>
              </w:rPr>
              <w:br/>
              <w:t>Interference Immunity Performance</w:t>
            </w:r>
            <w:bookmarkEnd w:id="0"/>
          </w:p>
        </w:tc>
        <w:tc>
          <w:tcPr>
            <w:tcW w:w="810" w:type="dxa"/>
            <w:vAlign w:val="center"/>
          </w:tcPr>
          <w:p w14:paraId="1C1164D8" w14:textId="0AE55983" w:rsidR="00E72FE7" w:rsidRDefault="00E72FE7" w:rsidP="00924973">
            <w:pPr>
              <w:spacing w:line="288" w:lineRule="auto"/>
            </w:pPr>
            <w:r>
              <w:t>)</w:t>
            </w:r>
            <w:r>
              <w:br/>
              <w:t>)</w:t>
            </w:r>
            <w:r>
              <w:br/>
              <w:t>)</w:t>
            </w:r>
            <w:r>
              <w:br/>
              <w:t>)</w:t>
            </w:r>
            <w:r>
              <w:br/>
              <w:t>)</w:t>
            </w:r>
          </w:p>
        </w:tc>
        <w:tc>
          <w:tcPr>
            <w:tcW w:w="3960" w:type="dxa"/>
            <w:vAlign w:val="center"/>
          </w:tcPr>
          <w:p w14:paraId="6256803E" w14:textId="05BC40C7" w:rsidR="00E72FE7" w:rsidRDefault="00E72FE7" w:rsidP="00924973">
            <w:pPr>
              <w:spacing w:line="288" w:lineRule="auto"/>
              <w:ind w:left="972"/>
            </w:pPr>
            <w:r>
              <w:t>ET Docket No. 22-137</w:t>
            </w:r>
          </w:p>
        </w:tc>
      </w:tr>
    </w:tbl>
    <w:p w14:paraId="48257E81" w14:textId="32C4B58C" w:rsidR="00D6362F" w:rsidRDefault="00D6362F" w:rsidP="00AE75E0">
      <w:pPr>
        <w:spacing w:line="288" w:lineRule="auto"/>
      </w:pPr>
    </w:p>
    <w:p w14:paraId="3F758B95" w14:textId="77777777" w:rsidR="003373E7" w:rsidRDefault="003373E7" w:rsidP="00AE75E0">
      <w:pPr>
        <w:spacing w:line="288" w:lineRule="auto"/>
      </w:pPr>
    </w:p>
    <w:p w14:paraId="4C24AE23" w14:textId="148F6E5C" w:rsidR="00E940F5" w:rsidRDefault="00E940F5" w:rsidP="00AE75E0">
      <w:pPr>
        <w:spacing w:line="288" w:lineRule="auto"/>
      </w:pPr>
    </w:p>
    <w:p w14:paraId="5D898C86" w14:textId="77777777" w:rsidR="00F54B14" w:rsidRDefault="00F54B14" w:rsidP="00AE75E0">
      <w:pPr>
        <w:spacing w:line="288" w:lineRule="auto"/>
      </w:pPr>
    </w:p>
    <w:p w14:paraId="04CA1C5C" w14:textId="13B120C9" w:rsidR="00EC28CD" w:rsidRDefault="00760525" w:rsidP="00AE75E0">
      <w:pPr>
        <w:spacing w:line="288" w:lineRule="auto"/>
        <w:jc w:val="center"/>
        <w:rPr>
          <w:b/>
          <w:bCs/>
        </w:rPr>
      </w:pPr>
      <w:r>
        <w:rPr>
          <w:b/>
          <w:bCs/>
        </w:rPr>
        <w:t xml:space="preserve">Reply </w:t>
      </w:r>
      <w:r w:rsidR="00EC28CD" w:rsidRPr="00EC28CD">
        <w:rPr>
          <w:b/>
          <w:bCs/>
        </w:rPr>
        <w:t>Comments of JP de Vries</w:t>
      </w:r>
    </w:p>
    <w:p w14:paraId="2EF5D877" w14:textId="287E2340" w:rsidR="00EC28CD" w:rsidRDefault="00EC28CD" w:rsidP="00AE75E0">
      <w:pPr>
        <w:spacing w:line="288" w:lineRule="auto"/>
        <w:jc w:val="center"/>
        <w:rPr>
          <w:b/>
          <w:bCs/>
        </w:rPr>
      </w:pPr>
    </w:p>
    <w:p w14:paraId="0A1B15CF" w14:textId="300AEE56" w:rsidR="00EC28CD" w:rsidRDefault="00EC28CD" w:rsidP="00AE75E0">
      <w:pPr>
        <w:spacing w:line="288" w:lineRule="auto"/>
        <w:jc w:val="center"/>
        <w:rPr>
          <w:b/>
          <w:bCs/>
        </w:rPr>
      </w:pPr>
    </w:p>
    <w:p w14:paraId="2E662871" w14:textId="202A50AB" w:rsidR="003373E7" w:rsidRDefault="003373E7" w:rsidP="00AE75E0">
      <w:pPr>
        <w:spacing w:line="288" w:lineRule="auto"/>
        <w:jc w:val="center"/>
        <w:rPr>
          <w:b/>
          <w:bCs/>
        </w:rPr>
      </w:pPr>
    </w:p>
    <w:p w14:paraId="12656CE4" w14:textId="580F2637" w:rsidR="003373E7" w:rsidRDefault="003373E7" w:rsidP="00AE75E0">
      <w:pPr>
        <w:spacing w:line="288" w:lineRule="auto"/>
        <w:jc w:val="center"/>
        <w:rPr>
          <w:b/>
          <w:bCs/>
        </w:rPr>
      </w:pPr>
    </w:p>
    <w:p w14:paraId="5839FF72" w14:textId="44098EBB" w:rsidR="003373E7" w:rsidRDefault="003373E7" w:rsidP="00AE75E0">
      <w:pPr>
        <w:spacing w:line="288" w:lineRule="auto"/>
        <w:jc w:val="center"/>
        <w:rPr>
          <w:b/>
          <w:bCs/>
        </w:rPr>
      </w:pPr>
    </w:p>
    <w:p w14:paraId="21302558" w14:textId="0C4955F3" w:rsidR="003373E7" w:rsidRDefault="003373E7" w:rsidP="00AE75E0">
      <w:pPr>
        <w:spacing w:line="288" w:lineRule="auto"/>
        <w:jc w:val="center"/>
        <w:rPr>
          <w:b/>
          <w:bCs/>
        </w:rPr>
      </w:pPr>
    </w:p>
    <w:p w14:paraId="71404041" w14:textId="77777777" w:rsidR="00546651" w:rsidRDefault="00546651" w:rsidP="001D40DF">
      <w:pPr>
        <w:spacing w:line="288" w:lineRule="auto"/>
        <w:rPr>
          <w:b/>
          <w:bCs/>
        </w:rPr>
      </w:pPr>
    </w:p>
    <w:p w14:paraId="1F68BDAA" w14:textId="77777777" w:rsidR="003373E7" w:rsidRDefault="003373E7" w:rsidP="00AE75E0">
      <w:pPr>
        <w:spacing w:line="288" w:lineRule="auto"/>
        <w:jc w:val="center"/>
        <w:rPr>
          <w:b/>
          <w:bCs/>
        </w:rPr>
      </w:pPr>
    </w:p>
    <w:p w14:paraId="11387CCF" w14:textId="537EF9A5" w:rsidR="00EC28CD" w:rsidRDefault="00EC28CD" w:rsidP="00AE75E0">
      <w:pPr>
        <w:spacing w:line="288" w:lineRule="auto"/>
        <w:jc w:val="center"/>
        <w:rPr>
          <w:b/>
          <w:bCs/>
        </w:rPr>
      </w:pPr>
    </w:p>
    <w:p w14:paraId="493C0196" w14:textId="2C733628" w:rsidR="00F54B14" w:rsidRDefault="00F54B14" w:rsidP="00AE75E0">
      <w:pPr>
        <w:spacing w:line="288" w:lineRule="auto"/>
        <w:jc w:val="center"/>
        <w:rPr>
          <w:b/>
          <w:bCs/>
        </w:rPr>
      </w:pPr>
    </w:p>
    <w:p w14:paraId="5AF17193" w14:textId="7B9EF475" w:rsidR="007177F0" w:rsidRDefault="007177F0" w:rsidP="00AE75E0">
      <w:pPr>
        <w:spacing w:line="288" w:lineRule="auto"/>
        <w:jc w:val="center"/>
        <w:rPr>
          <w:b/>
          <w:bCs/>
        </w:rPr>
      </w:pPr>
    </w:p>
    <w:p w14:paraId="1C152777" w14:textId="77777777" w:rsidR="007177F0" w:rsidRDefault="007177F0" w:rsidP="00AE75E0">
      <w:pPr>
        <w:spacing w:line="288" w:lineRule="auto"/>
        <w:jc w:val="center"/>
        <w:rPr>
          <w:b/>
          <w:bCs/>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60"/>
        <w:gridCol w:w="4770"/>
        <w:gridCol w:w="90"/>
      </w:tblGrid>
      <w:tr w:rsidR="00924973" w14:paraId="59082AD4" w14:textId="77777777" w:rsidTr="001C3C73">
        <w:trPr>
          <w:gridAfter w:val="1"/>
          <w:wAfter w:w="90" w:type="dxa"/>
        </w:trPr>
        <w:tc>
          <w:tcPr>
            <w:tcW w:w="4680" w:type="dxa"/>
            <w:gridSpan w:val="2"/>
            <w:vAlign w:val="center"/>
          </w:tcPr>
          <w:p w14:paraId="34EAE766" w14:textId="77777777" w:rsidR="00924973" w:rsidRDefault="00924973" w:rsidP="006F7E21">
            <w:pPr>
              <w:spacing w:line="288" w:lineRule="auto"/>
              <w:ind w:left="432"/>
              <w:rPr>
                <w:i/>
                <w:iCs/>
              </w:rPr>
            </w:pPr>
            <w:r>
              <w:rPr>
                <w:i/>
                <w:iCs/>
              </w:rPr>
              <w:t>via electronic filing</w:t>
            </w:r>
          </w:p>
          <w:p w14:paraId="0B0CE56A" w14:textId="60CF6E97" w:rsidR="00924973" w:rsidRPr="00E72FE7" w:rsidRDefault="002B101B" w:rsidP="006F7E21">
            <w:pPr>
              <w:spacing w:line="288" w:lineRule="auto"/>
              <w:ind w:left="432"/>
              <w:rPr>
                <w:b/>
                <w:bCs/>
              </w:rPr>
            </w:pPr>
            <w:r>
              <w:t>July 2</w:t>
            </w:r>
            <w:r w:rsidR="008B46AF">
              <w:t>6</w:t>
            </w:r>
            <w:r w:rsidRPr="002B101B">
              <w:rPr>
                <w:vertAlign w:val="superscript"/>
              </w:rPr>
              <w:t>th</w:t>
            </w:r>
            <w:r>
              <w:t>, 2022</w:t>
            </w:r>
          </w:p>
        </w:tc>
        <w:tc>
          <w:tcPr>
            <w:tcW w:w="4770" w:type="dxa"/>
            <w:vAlign w:val="center"/>
          </w:tcPr>
          <w:p w14:paraId="2E51B6F4" w14:textId="77777777" w:rsidR="00924973" w:rsidRDefault="00924973" w:rsidP="00924973">
            <w:pPr>
              <w:spacing w:line="288" w:lineRule="auto"/>
            </w:pPr>
            <w:r>
              <w:t>JP (Pierre) de Vries</w:t>
            </w:r>
            <w:r>
              <w:rPr>
                <w:rStyle w:val="FootnoteReference"/>
              </w:rPr>
              <w:footnoteReference w:id="1"/>
            </w:r>
          </w:p>
          <w:p w14:paraId="1B50490C" w14:textId="77777777" w:rsidR="00CE628F" w:rsidRDefault="00924973" w:rsidP="00924973">
            <w:pPr>
              <w:spacing w:line="288" w:lineRule="auto"/>
            </w:pPr>
            <w:r>
              <w:t>Distinguished Advisor, Silicon Flatirons</w:t>
            </w:r>
          </w:p>
          <w:p w14:paraId="0FE47D8B" w14:textId="569632BE" w:rsidR="00924973" w:rsidRDefault="00CE628F" w:rsidP="00924973">
            <w:pPr>
              <w:spacing w:line="288" w:lineRule="auto"/>
            </w:pPr>
            <w:r>
              <w:t xml:space="preserve">      </w:t>
            </w:r>
            <w:r w:rsidR="00924973">
              <w:t>Center</w:t>
            </w:r>
          </w:p>
          <w:p w14:paraId="4BB0FB3D" w14:textId="77777777" w:rsidR="00924973" w:rsidRDefault="00924973" w:rsidP="00924973">
            <w:pPr>
              <w:spacing w:line="288" w:lineRule="auto"/>
            </w:pPr>
            <w:r>
              <w:t>University of Colorado Law School</w:t>
            </w:r>
          </w:p>
          <w:p w14:paraId="5FA32069" w14:textId="77777777" w:rsidR="00924973" w:rsidRDefault="00924973" w:rsidP="00924973">
            <w:pPr>
              <w:spacing w:line="288" w:lineRule="auto"/>
            </w:pPr>
            <w:r>
              <w:t>Boulder, CO 80309</w:t>
            </w:r>
          </w:p>
          <w:p w14:paraId="407EBC3C" w14:textId="101F4067" w:rsidR="00924973" w:rsidRDefault="00924973" w:rsidP="00924973">
            <w:pPr>
              <w:spacing w:line="288" w:lineRule="auto"/>
            </w:pPr>
            <w:r>
              <w:t>jp.devries@colorado.edu</w:t>
            </w:r>
          </w:p>
        </w:tc>
      </w:tr>
      <w:tr w:rsidR="00EC28CD" w14:paraId="6F5814A8" w14:textId="77777777" w:rsidTr="001C3C73">
        <w:tblPrEx>
          <w:jc w:val="center"/>
        </w:tblPrEx>
        <w:trPr>
          <w:jc w:val="center"/>
        </w:trPr>
        <w:tc>
          <w:tcPr>
            <w:tcW w:w="4320" w:type="dxa"/>
            <w:vAlign w:val="center"/>
          </w:tcPr>
          <w:p w14:paraId="59FC2BBA" w14:textId="337504B6" w:rsidR="00EC28CD" w:rsidRPr="00EC28CD" w:rsidRDefault="00EC28CD" w:rsidP="00AE75E0">
            <w:pPr>
              <w:spacing w:line="288" w:lineRule="auto"/>
            </w:pPr>
          </w:p>
        </w:tc>
        <w:tc>
          <w:tcPr>
            <w:tcW w:w="5220" w:type="dxa"/>
            <w:gridSpan w:val="3"/>
            <w:vAlign w:val="center"/>
          </w:tcPr>
          <w:p w14:paraId="7061B48A" w14:textId="0C36D338" w:rsidR="00B940DC" w:rsidRDefault="00B940DC" w:rsidP="00AE75E0">
            <w:pPr>
              <w:spacing w:line="288" w:lineRule="auto"/>
            </w:pPr>
          </w:p>
        </w:tc>
      </w:tr>
    </w:tbl>
    <w:p w14:paraId="53AA51A5" w14:textId="480AF744" w:rsidR="002C5256" w:rsidRDefault="002C5256">
      <w:pPr>
        <w:spacing w:after="160" w:line="259" w:lineRule="auto"/>
        <w:rPr>
          <w:b/>
          <w:bCs/>
        </w:rPr>
      </w:pPr>
      <w:r>
        <w:rPr>
          <w:b/>
          <w:bCs/>
        </w:rPr>
        <w:br w:type="page"/>
      </w:r>
    </w:p>
    <w:p w14:paraId="1FA99F19" w14:textId="5EF8E599" w:rsidR="00E03630" w:rsidRDefault="00E03630" w:rsidP="00A65CBE">
      <w:pPr>
        <w:pStyle w:val="Heading1notoc"/>
      </w:pPr>
      <w:r>
        <w:lastRenderedPageBreak/>
        <w:t>Summary</w:t>
      </w:r>
    </w:p>
    <w:p w14:paraId="2BF4FED9" w14:textId="40C47D36" w:rsidR="0042544B" w:rsidRDefault="00A43F49" w:rsidP="00A5212A">
      <w:pPr>
        <w:pStyle w:val="ListBulletDoubleSp"/>
      </w:pPr>
      <w:r>
        <w:t xml:space="preserve">In the </w:t>
      </w:r>
      <w:r w:rsidRPr="0042544B">
        <w:rPr>
          <w:i/>
          <w:iCs/>
        </w:rPr>
        <w:t>NOI</w:t>
      </w:r>
      <w:r>
        <w:t xml:space="preserve">, the Commission </w:t>
      </w:r>
      <w:r w:rsidR="00846785">
        <w:t xml:space="preserve">seeks input on </w:t>
      </w:r>
      <w:r>
        <w:t>the role of interference immunity</w:t>
      </w:r>
      <w:r w:rsidR="004409A4">
        <w:t xml:space="preserve"> </w:t>
      </w:r>
      <w:r>
        <w:t xml:space="preserve">in </w:t>
      </w:r>
      <w:r w:rsidR="00E57D22">
        <w:t>the</w:t>
      </w:r>
      <w:r w:rsidR="00181ACE">
        <w:t xml:space="preserve"> use of radio systems</w:t>
      </w:r>
      <w:r>
        <w:t xml:space="preserve">. </w:t>
      </w:r>
      <w:r w:rsidRPr="002F09DB">
        <w:t xml:space="preserve">There </w:t>
      </w:r>
      <w:r>
        <w:t xml:space="preserve">is </w:t>
      </w:r>
      <w:r w:rsidR="003507FC">
        <w:t>striking</w:t>
      </w:r>
      <w:r>
        <w:t xml:space="preserve"> </w:t>
      </w:r>
      <w:r w:rsidRPr="002F09DB">
        <w:t>agreement</w:t>
      </w:r>
      <w:r>
        <w:t xml:space="preserve"> on several topics</w:t>
      </w:r>
      <w:r w:rsidRPr="002F09DB">
        <w:t>, including support for a policy statement, dislike of receiver mandates, and support for voluntary approache</w:t>
      </w:r>
      <w:r>
        <w:t xml:space="preserve">s. </w:t>
      </w:r>
      <w:r w:rsidRPr="00612D7B">
        <w:t xml:space="preserve">There is </w:t>
      </w:r>
      <w:r w:rsidR="000C3461">
        <w:t xml:space="preserve">solid </w:t>
      </w:r>
      <w:r w:rsidRPr="00612D7B">
        <w:t xml:space="preserve">support </w:t>
      </w:r>
      <w:r w:rsidR="00FA1D02">
        <w:t xml:space="preserve">in the record </w:t>
      </w:r>
      <w:r w:rsidRPr="00612D7B">
        <w:t xml:space="preserve">for further exploration of interference limits </w:t>
      </w:r>
      <w:r w:rsidR="00430D0D">
        <w:t>and harm claim thresholds (HCTs)</w:t>
      </w:r>
      <w:r w:rsidR="004409A4">
        <w:t>.</w:t>
      </w:r>
    </w:p>
    <w:p w14:paraId="4D1DDE1D" w14:textId="66DDFBC4" w:rsidR="00264B3B" w:rsidRDefault="0042544B" w:rsidP="00A5212A">
      <w:pPr>
        <w:pStyle w:val="ListBulletDoubleSp"/>
      </w:pPr>
      <w:r>
        <w:t xml:space="preserve">The </w:t>
      </w:r>
      <w:r w:rsidR="00460E93">
        <w:t>way forward</w:t>
      </w:r>
      <w:r>
        <w:t xml:space="preserve"> is clear</w:t>
      </w:r>
      <w:r w:rsidR="005F5194">
        <w:t>:</w:t>
      </w:r>
    </w:p>
    <w:p w14:paraId="4911A1CC" w14:textId="535F2690" w:rsidR="000D4DEE" w:rsidRDefault="00460E93" w:rsidP="006E060E">
      <w:pPr>
        <w:pStyle w:val="ListBulletDoubleSp"/>
        <w:numPr>
          <w:ilvl w:val="0"/>
          <w:numId w:val="13"/>
        </w:numPr>
      </w:pPr>
      <w:r>
        <w:t xml:space="preserve">The Commission should issue a policy statement that </w:t>
      </w:r>
      <w:r w:rsidR="00041BED">
        <w:t>documents</w:t>
      </w:r>
      <w:r>
        <w:t xml:space="preserve"> its assumptions and expectations about coexistence between radio systems</w:t>
      </w:r>
      <w:r w:rsidR="00F43A84">
        <w:t xml:space="preserve">. </w:t>
      </w:r>
      <w:r w:rsidR="00055139">
        <w:t>This guidance should</w:t>
      </w:r>
      <w:r w:rsidR="00F43A84">
        <w:t xml:space="preserve"> </w:t>
      </w:r>
      <w:r w:rsidR="005C1535">
        <w:t>lay</w:t>
      </w:r>
      <w:r w:rsidR="00F43A84">
        <w:t xml:space="preserve"> out </w:t>
      </w:r>
      <w:r w:rsidR="005C1535">
        <w:t xml:space="preserve">how staff should </w:t>
      </w:r>
      <w:r w:rsidR="005C1535" w:rsidRPr="000C0CFE">
        <w:t>assess the compatibility of</w:t>
      </w:r>
      <w:r w:rsidR="005C1535">
        <w:t xml:space="preserve">, </w:t>
      </w:r>
      <w:r w:rsidR="005C1535" w:rsidRPr="007920E2">
        <w:t>and develop recommendations for,</w:t>
      </w:r>
      <w:r w:rsidR="005C1535" w:rsidRPr="000C0CFE">
        <w:t xml:space="preserve"> future spectrum allocations</w:t>
      </w:r>
      <w:r w:rsidR="000D4DEE">
        <w:t xml:space="preserve">. </w:t>
      </w:r>
    </w:p>
    <w:p w14:paraId="1F35BADD" w14:textId="70187971" w:rsidR="00B14EA8" w:rsidRDefault="000D4DEE" w:rsidP="006E060E">
      <w:pPr>
        <w:pStyle w:val="ListBulletDoubleSp"/>
        <w:numPr>
          <w:ilvl w:val="0"/>
          <w:numId w:val="13"/>
        </w:numPr>
      </w:pPr>
      <w:r>
        <w:t xml:space="preserve">The Commission </w:t>
      </w:r>
      <w:r w:rsidR="00460E93">
        <w:t xml:space="preserve">should then pilot interference limits </w:t>
      </w:r>
      <w:r w:rsidR="00B14EA8">
        <w:t xml:space="preserve">in </w:t>
      </w:r>
      <w:r w:rsidR="00460E93">
        <w:t xml:space="preserve">a </w:t>
      </w:r>
      <w:r w:rsidR="00366633">
        <w:t xml:space="preserve">limited-scope </w:t>
      </w:r>
      <w:r w:rsidR="00460E93">
        <w:t xml:space="preserve">reallocation </w:t>
      </w:r>
      <w:r w:rsidR="006D505E">
        <w:t>or ad hoc rule change</w:t>
      </w:r>
      <w:r w:rsidR="00460E93">
        <w:t xml:space="preserve">. </w:t>
      </w:r>
      <w:r w:rsidR="000F0AB0">
        <w:t xml:space="preserve">A </w:t>
      </w:r>
      <w:r w:rsidR="00502094">
        <w:t xml:space="preserve">quantitative </w:t>
      </w:r>
      <w:r w:rsidR="000F0AB0">
        <w:t xml:space="preserve">interference limit </w:t>
      </w:r>
      <w:r w:rsidR="00EB307B">
        <w:t xml:space="preserve">can be used to </w:t>
      </w:r>
      <w:r w:rsidR="00AB11E2">
        <w:t>negotiate</w:t>
      </w:r>
      <w:r w:rsidR="00EB307B">
        <w:t xml:space="preserve"> </w:t>
      </w:r>
      <w:r w:rsidR="00B60231">
        <w:t xml:space="preserve">trade-offs between </w:t>
      </w:r>
      <w:r w:rsidR="00381C84">
        <w:t>transmitter and receiver concerns.</w:t>
      </w:r>
    </w:p>
    <w:p w14:paraId="5DF1433C" w14:textId="0CBA42E2" w:rsidR="00460E93" w:rsidRDefault="00460E93" w:rsidP="006E060E">
      <w:pPr>
        <w:pStyle w:val="ListBulletDoubleSp"/>
        <w:numPr>
          <w:ilvl w:val="0"/>
          <w:numId w:val="13"/>
        </w:numPr>
      </w:pPr>
      <w:r>
        <w:t>Once it has developed expertise and confidence</w:t>
      </w:r>
      <w:r w:rsidR="00366633">
        <w:t xml:space="preserve"> in RF environment methods</w:t>
      </w:r>
      <w:r w:rsidR="00C821EC">
        <w:t xml:space="preserve"> by using interference limits</w:t>
      </w:r>
      <w:r>
        <w:t xml:space="preserve">, </w:t>
      </w:r>
      <w:r w:rsidR="00055139">
        <w:t>the Commission</w:t>
      </w:r>
      <w:r>
        <w:t xml:space="preserve"> can move on to using HCTs</w:t>
      </w:r>
      <w:r w:rsidR="00055139">
        <w:t xml:space="preserve"> in technical rules</w:t>
      </w:r>
      <w:r>
        <w:t>.</w:t>
      </w:r>
    </w:p>
    <w:p w14:paraId="413E4D28" w14:textId="307E9E75" w:rsidR="0061560C" w:rsidRDefault="008B0078" w:rsidP="0057082A">
      <w:pPr>
        <w:pStyle w:val="ListBulletDoubleSp"/>
      </w:pPr>
      <w:r w:rsidRPr="008B0078">
        <w:t xml:space="preserve">Several recommendations in the record </w:t>
      </w:r>
      <w:r w:rsidR="00CF7FD7">
        <w:t>would advance</w:t>
      </w:r>
      <w:r w:rsidRPr="008B0078">
        <w:t xml:space="preserve"> this work. CTIA proposes discussion about </w:t>
      </w:r>
      <w:r w:rsidR="005017E9">
        <w:t xml:space="preserve">a framework for </w:t>
      </w:r>
      <w:r w:rsidRPr="008B0078">
        <w:t>probabilistic analysis techniques and simulation. Bykowsky &amp; Sharkey recommend that the Commission use an emulation testbed to examine the efficiency</w:t>
      </w:r>
      <w:r w:rsidR="007320C3">
        <w:t>-</w:t>
      </w:r>
      <w:r w:rsidRPr="008B0078">
        <w:t xml:space="preserve">enhancing effects of an interference limit. Stacey Weber puts forward negotiated rulemaking as a formal and accountable multi-stakeholder </w:t>
      </w:r>
      <w:r w:rsidR="00FF689A">
        <w:t>context</w:t>
      </w:r>
      <w:r w:rsidRPr="008B0078">
        <w:t xml:space="preserve"> for </w:t>
      </w:r>
      <w:r w:rsidR="00FF689A">
        <w:t xml:space="preserve">using </w:t>
      </w:r>
      <w:r w:rsidRPr="008B0078">
        <w:t>interference limits. NCTA and Public Knowledge/OTI</w:t>
      </w:r>
      <w:r w:rsidR="003114AC">
        <w:t>’</w:t>
      </w:r>
      <w:r w:rsidRPr="008B0078">
        <w:t xml:space="preserve">s proposals for </w:t>
      </w:r>
      <w:r w:rsidR="003114AC">
        <w:t>“</w:t>
      </w:r>
      <w:r w:rsidRPr="008B0078">
        <w:t>reasonable</w:t>
      </w:r>
      <w:r w:rsidR="003114AC">
        <w:t>”</w:t>
      </w:r>
      <w:r w:rsidRPr="008B0078">
        <w:t xml:space="preserve"> and </w:t>
      </w:r>
      <w:r w:rsidR="003114AC">
        <w:t>“</w:t>
      </w:r>
      <w:r w:rsidRPr="008B0078">
        <w:t>standard</w:t>
      </w:r>
      <w:r w:rsidR="003114AC">
        <w:t>”</w:t>
      </w:r>
      <w:r w:rsidRPr="008B0078">
        <w:t xml:space="preserve"> receiver approaches, respectively, could test key ideas of the interference limits approach without </w:t>
      </w:r>
      <w:r w:rsidR="00FF689A">
        <w:t>using</w:t>
      </w:r>
      <w:r w:rsidRPr="008B0078">
        <w:t xml:space="preserve"> statistics.</w:t>
      </w:r>
    </w:p>
    <w:p w14:paraId="09C8DB9F" w14:textId="6372BB2C" w:rsidR="004A5E2B" w:rsidRDefault="00A43F49" w:rsidP="004A5E2B">
      <w:pPr>
        <w:pStyle w:val="ListBulletDoubleSp"/>
      </w:pPr>
      <w:r>
        <w:lastRenderedPageBreak/>
        <w:t xml:space="preserve">Most of the </w:t>
      </w:r>
      <w:r w:rsidR="003E5231">
        <w:t xml:space="preserve">fears and reservations </w:t>
      </w:r>
      <w:r>
        <w:t xml:space="preserve">about interference limits and HCTs can be filed under </w:t>
      </w:r>
      <w:r w:rsidR="003114AC">
        <w:t>“</w:t>
      </w:r>
      <w:r>
        <w:t>Don</w:t>
      </w:r>
      <w:r w:rsidR="003114AC">
        <w:t>’</w:t>
      </w:r>
      <w:r>
        <w:t>t shoot the messenger.</w:t>
      </w:r>
      <w:r w:rsidR="003114AC">
        <w:t>”</w:t>
      </w:r>
      <w:r>
        <w:t xml:space="preserve"> </w:t>
      </w:r>
      <w:r w:rsidR="003E5231">
        <w:t xml:space="preserve">These concerns </w:t>
      </w:r>
      <w:r>
        <w:t xml:space="preserve">apply </w:t>
      </w:r>
      <w:r w:rsidR="00697BC7">
        <w:t xml:space="preserve">just as much </w:t>
      </w:r>
      <w:r>
        <w:t xml:space="preserve">to </w:t>
      </w:r>
      <w:r w:rsidR="006713EA">
        <w:t xml:space="preserve">conventional </w:t>
      </w:r>
      <w:r>
        <w:t xml:space="preserve">Commission rulemaking </w:t>
      </w:r>
      <w:r w:rsidR="006713EA">
        <w:t xml:space="preserve">as to </w:t>
      </w:r>
      <w:r>
        <w:t xml:space="preserve">this </w:t>
      </w:r>
      <w:r w:rsidR="006713EA">
        <w:t xml:space="preserve">new </w:t>
      </w:r>
      <w:r>
        <w:t xml:space="preserve">approach. </w:t>
      </w:r>
    </w:p>
    <w:p w14:paraId="15752C6E" w14:textId="2C5D34EB" w:rsidR="0061230A" w:rsidRDefault="0061230A" w:rsidP="0057082A">
      <w:pPr>
        <w:pStyle w:val="ListBulletDoubleSp"/>
        <w:numPr>
          <w:ilvl w:val="1"/>
          <w:numId w:val="3"/>
        </w:numPr>
        <w:ind w:left="864" w:hanging="432"/>
      </w:pPr>
      <w:r w:rsidRPr="0061230A">
        <w:t>Involving all stakeholders may be contentious and time consuming</w:t>
      </w:r>
      <w:r w:rsidR="00D04EA9">
        <w:t xml:space="preserve">, but </w:t>
      </w:r>
      <w:r w:rsidRPr="0061230A">
        <w:t xml:space="preserve">it </w:t>
      </w:r>
      <w:r w:rsidR="00F42142">
        <w:t xml:space="preserve">always </w:t>
      </w:r>
      <w:r w:rsidRPr="0061230A">
        <w:t>is</w:t>
      </w:r>
      <w:r w:rsidR="00F42142">
        <w:t>.</w:t>
      </w:r>
    </w:p>
    <w:p w14:paraId="24175A6B" w14:textId="4B363CD2" w:rsidR="00A43F49" w:rsidRDefault="0061230A" w:rsidP="0057082A">
      <w:pPr>
        <w:pStyle w:val="ListBulletDoubleSp"/>
        <w:numPr>
          <w:ilvl w:val="1"/>
          <w:numId w:val="3"/>
        </w:numPr>
        <w:ind w:left="864" w:hanging="432"/>
      </w:pPr>
      <w:r>
        <w:t>D</w:t>
      </w:r>
      <w:r w:rsidR="00A43F49">
        <w:t xml:space="preserve">eveloping interference limits may require anticipating the future interference environment, </w:t>
      </w:r>
      <w:r w:rsidR="002D747E">
        <w:t xml:space="preserve">but </w:t>
      </w:r>
      <w:r w:rsidR="00A43F49">
        <w:t xml:space="preserve">current rulemaking approaches do so, too. </w:t>
      </w:r>
    </w:p>
    <w:p w14:paraId="7519FCE5" w14:textId="4CE6E251" w:rsidR="00A43F49" w:rsidRDefault="002D747E" w:rsidP="0057082A">
      <w:pPr>
        <w:pStyle w:val="ListBulletDoubleSp"/>
        <w:numPr>
          <w:ilvl w:val="1"/>
          <w:numId w:val="3"/>
        </w:numPr>
        <w:ind w:left="864" w:hanging="432"/>
      </w:pPr>
      <w:r>
        <w:t>It</w:t>
      </w:r>
      <w:r w:rsidR="00A43F49">
        <w:t xml:space="preserve"> may sometimes be difficult to </w:t>
      </w:r>
      <w:r w:rsidR="000D463C">
        <w:t xml:space="preserve">differentiate between </w:t>
      </w:r>
      <w:r w:rsidR="00A43F49">
        <w:t xml:space="preserve">simultaneous potential interferers </w:t>
      </w:r>
      <w:r w:rsidR="00967EFE">
        <w:t xml:space="preserve">when pursuing </w:t>
      </w:r>
      <w:r w:rsidR="00A43F49">
        <w:t xml:space="preserve">harm claims, </w:t>
      </w:r>
      <w:r>
        <w:t xml:space="preserve">but </w:t>
      </w:r>
      <w:r w:rsidR="00A43F49">
        <w:t xml:space="preserve">the same is true of </w:t>
      </w:r>
      <w:r w:rsidR="00F40A41">
        <w:t>interference resolution</w:t>
      </w:r>
      <w:r w:rsidR="00A43F49">
        <w:t xml:space="preserve"> today. </w:t>
      </w:r>
    </w:p>
    <w:p w14:paraId="22D41F53" w14:textId="3B01D910" w:rsidR="00A43F49" w:rsidRDefault="002D747E" w:rsidP="0057082A">
      <w:pPr>
        <w:pStyle w:val="ListBulletDoubleSp"/>
        <w:numPr>
          <w:ilvl w:val="1"/>
          <w:numId w:val="3"/>
        </w:numPr>
        <w:ind w:left="864" w:hanging="432"/>
      </w:pPr>
      <w:r>
        <w:t>S</w:t>
      </w:r>
      <w:r w:rsidR="00A43F49">
        <w:t xml:space="preserve">etting numerical values may be challenging in some cases, </w:t>
      </w:r>
      <w:r>
        <w:t xml:space="preserve">but </w:t>
      </w:r>
      <w:r w:rsidR="00552F08">
        <w:t xml:space="preserve">making such determinations </w:t>
      </w:r>
      <w:r w:rsidR="00A43F49">
        <w:t xml:space="preserve">is a staple of Commission rulemaking. </w:t>
      </w:r>
    </w:p>
    <w:p w14:paraId="332E0F98" w14:textId="1AAB75CD" w:rsidR="00A43F49" w:rsidRDefault="002D747E" w:rsidP="00D60345">
      <w:pPr>
        <w:pStyle w:val="ListBulletDoubleSp"/>
        <w:numPr>
          <w:ilvl w:val="1"/>
          <w:numId w:val="3"/>
        </w:numPr>
        <w:ind w:left="864" w:hanging="432"/>
      </w:pPr>
      <w:r>
        <w:t>D</w:t>
      </w:r>
      <w:r w:rsidR="00A43F49">
        <w:t>efining and interpreting probabilities may be daunting</w:t>
      </w:r>
      <w:r w:rsidR="00967EFE">
        <w:t xml:space="preserve"> to some</w:t>
      </w:r>
      <w:r w:rsidR="00A43F49">
        <w:t xml:space="preserve">, </w:t>
      </w:r>
      <w:r>
        <w:t xml:space="preserve">but </w:t>
      </w:r>
      <w:r w:rsidR="00D60345">
        <w:t xml:space="preserve">they </w:t>
      </w:r>
      <w:r w:rsidR="00590776">
        <w:t>reflect</w:t>
      </w:r>
      <w:r w:rsidR="00D60345">
        <w:t xml:space="preserve"> the inherent variability of </w:t>
      </w:r>
      <w:r w:rsidR="00A43F49">
        <w:t>the RF environment</w:t>
      </w:r>
      <w:r w:rsidR="00EC3B30">
        <w:t>. I</w:t>
      </w:r>
      <w:r w:rsidR="00A43F49">
        <w:t xml:space="preserve">nterference limits and HCTs merely </w:t>
      </w:r>
      <w:r w:rsidR="00EC3B30">
        <w:t>highlight</w:t>
      </w:r>
      <w:r w:rsidR="00A43F49">
        <w:t xml:space="preserve"> a reality that has been there all along.</w:t>
      </w:r>
    </w:p>
    <w:p w14:paraId="28C4F23D" w14:textId="4D7E8C2A" w:rsidR="00742CED" w:rsidRDefault="00E9176B" w:rsidP="0057082A">
      <w:pPr>
        <w:pStyle w:val="ListBulletDoubleSp"/>
        <w:numPr>
          <w:ilvl w:val="1"/>
          <w:numId w:val="3"/>
        </w:numPr>
        <w:ind w:left="864" w:hanging="432"/>
      </w:pPr>
      <w:r w:rsidRPr="00E9176B">
        <w:t>Rules that use HCTs could lead to costly harmful interference claims</w:t>
      </w:r>
      <w:r w:rsidR="000E67E0">
        <w:t xml:space="preserve">, </w:t>
      </w:r>
      <w:r w:rsidRPr="00E9176B">
        <w:t xml:space="preserve">but so could any other </w:t>
      </w:r>
      <w:r w:rsidR="001541D9">
        <w:t xml:space="preserve">approach to making </w:t>
      </w:r>
      <w:r w:rsidRPr="00E9176B">
        <w:t>technical rules</w:t>
      </w:r>
      <w:r w:rsidR="00293B49">
        <w:t>,</w:t>
      </w:r>
      <w:r w:rsidR="000437E2">
        <w:t xml:space="preserve"> including current methods</w:t>
      </w:r>
      <w:r>
        <w:t>.</w:t>
      </w:r>
    </w:p>
    <w:p w14:paraId="0918F770" w14:textId="5B6664CE" w:rsidR="00A43F49" w:rsidRDefault="00A43F49" w:rsidP="0057082A">
      <w:pPr>
        <w:pStyle w:val="ListBulletDoubleSp"/>
      </w:pPr>
      <w:r w:rsidRPr="00720748">
        <w:t xml:space="preserve">HCTs </w:t>
      </w:r>
      <w:r w:rsidR="003B34CB">
        <w:t xml:space="preserve">do </w:t>
      </w:r>
      <w:r w:rsidRPr="00720748">
        <w:t xml:space="preserve">introduce </w:t>
      </w:r>
      <w:r w:rsidR="007320C3">
        <w:t xml:space="preserve">some </w:t>
      </w:r>
      <w:r w:rsidRPr="00720748">
        <w:t xml:space="preserve">new challenges, but they can be overcome. Field </w:t>
      </w:r>
      <w:r>
        <w:t xml:space="preserve">strength </w:t>
      </w:r>
      <w:r w:rsidRPr="00720748">
        <w:t xml:space="preserve">measurement </w:t>
      </w:r>
      <w:r w:rsidR="00A13F21">
        <w:t xml:space="preserve">is </w:t>
      </w:r>
      <w:r w:rsidR="00E930AD">
        <w:t xml:space="preserve">a well-known and </w:t>
      </w:r>
      <w:r w:rsidR="003B34CB" w:rsidRPr="00720748">
        <w:t>widely</w:t>
      </w:r>
      <w:r w:rsidR="003B34CB">
        <w:t xml:space="preserve"> used</w:t>
      </w:r>
      <w:r w:rsidRPr="00720748">
        <w:t xml:space="preserve"> </w:t>
      </w:r>
      <w:r>
        <w:t>technique</w:t>
      </w:r>
      <w:r w:rsidR="00E930AD">
        <w:t xml:space="preserve"> in some industries</w:t>
      </w:r>
      <w:r>
        <w:t xml:space="preserve">. </w:t>
      </w:r>
      <w:r w:rsidR="00293B49">
        <w:t>The Commission could allow m</w:t>
      </w:r>
      <w:r>
        <w:t>o</w:t>
      </w:r>
      <w:r w:rsidRPr="00720748">
        <w:t xml:space="preserve">deling </w:t>
      </w:r>
      <w:r>
        <w:t>rather than, or in addition to, measurement</w:t>
      </w:r>
      <w:r w:rsidRPr="00720748">
        <w:t xml:space="preserve">. </w:t>
      </w:r>
      <w:r>
        <w:t xml:space="preserve">Some parties oppose </w:t>
      </w:r>
      <w:r w:rsidRPr="00720748">
        <w:t>plac</w:t>
      </w:r>
      <w:r>
        <w:t>ing</w:t>
      </w:r>
      <w:r w:rsidRPr="00720748">
        <w:t xml:space="preserve"> the burden of pleading on the party claiming harmful interference</w:t>
      </w:r>
      <w:r>
        <w:t xml:space="preserve">. </w:t>
      </w:r>
      <w:r w:rsidR="00E930AD">
        <w:t>While p</w:t>
      </w:r>
      <w:r>
        <w:t>laintiffs typically bear this burden</w:t>
      </w:r>
      <w:r w:rsidR="00E930AD">
        <w:t xml:space="preserve">, </w:t>
      </w:r>
      <w:r>
        <w:t xml:space="preserve">it </w:t>
      </w:r>
      <w:r w:rsidRPr="00720748">
        <w:t xml:space="preserve">could be spread if </w:t>
      </w:r>
      <w:r w:rsidR="00666BC1">
        <w:t>necessary</w:t>
      </w:r>
      <w:r w:rsidRPr="00720748">
        <w:t>.</w:t>
      </w:r>
    </w:p>
    <w:p w14:paraId="4982AB5F" w14:textId="060FAE20" w:rsidR="008B0078" w:rsidRPr="008B0078" w:rsidRDefault="0047661E" w:rsidP="008B0078">
      <w:pPr>
        <w:pStyle w:val="ListBulletDoubleSp"/>
      </w:pPr>
      <w:r w:rsidRPr="008B0078">
        <w:t>A</w:t>
      </w:r>
      <w:r w:rsidR="00A43F49" w:rsidRPr="008B0078">
        <w:t xml:space="preserve"> few comments in the record misunderstand or misconstrue harm claim thresholds.</w:t>
      </w:r>
      <w:r w:rsidR="00834C58" w:rsidRPr="008B0078">
        <w:t xml:space="preserve"> HCTs are not intended to identify </w:t>
      </w:r>
      <w:r w:rsidR="003114AC">
        <w:t>“</w:t>
      </w:r>
      <w:r w:rsidR="00A43F49" w:rsidRPr="008B0078">
        <w:t>poor-performing</w:t>
      </w:r>
      <w:r w:rsidR="003114AC">
        <w:t>”</w:t>
      </w:r>
      <w:r w:rsidR="00A43F49" w:rsidRPr="008B0078">
        <w:t xml:space="preserve"> receivers </w:t>
      </w:r>
      <w:r w:rsidR="008C1257" w:rsidRPr="008B0078">
        <w:t xml:space="preserve">and are not receiver mandates. They will not discourage innovation and </w:t>
      </w:r>
      <w:r w:rsidR="00EF4407">
        <w:t xml:space="preserve">do </w:t>
      </w:r>
      <w:r w:rsidR="008C1257" w:rsidRPr="008B0078">
        <w:t xml:space="preserve">not </w:t>
      </w:r>
      <w:r w:rsidR="00EF4407">
        <w:t xml:space="preserve">have to </w:t>
      </w:r>
      <w:r w:rsidR="008C1257" w:rsidRPr="008B0078">
        <w:t>be set retroactively for all bands.</w:t>
      </w:r>
    </w:p>
    <w:p w14:paraId="51616878" w14:textId="64E0D6D3" w:rsidR="008B4468" w:rsidRPr="008B0078" w:rsidRDefault="008B4468" w:rsidP="008B0078">
      <w:pPr>
        <w:pStyle w:val="ListBulletDoubleSp"/>
      </w:pPr>
      <w:r w:rsidRPr="008B0078">
        <w:br w:type="page"/>
      </w:r>
    </w:p>
    <w:p w14:paraId="64C4C5AB" w14:textId="777EAA8A" w:rsidR="003B1392" w:rsidRDefault="0017776A" w:rsidP="00A65CBE">
      <w:pPr>
        <w:pStyle w:val="Heading1notoc"/>
      </w:pPr>
      <w:r>
        <w:lastRenderedPageBreak/>
        <w:t>Table of Contents</w:t>
      </w:r>
    </w:p>
    <w:p w14:paraId="1F42FE89" w14:textId="4CACE515" w:rsidR="00373007" w:rsidRDefault="00671D37">
      <w:pPr>
        <w:pStyle w:val="TOC2"/>
        <w:rPr>
          <w:rFonts w:asciiTheme="minorHAnsi" w:eastAsiaTheme="minorEastAsia" w:hAnsiTheme="minorHAnsi"/>
          <w:b w:val="0"/>
          <w:noProof/>
          <w:sz w:val="22"/>
        </w:rPr>
      </w:pPr>
      <w:r>
        <w:fldChar w:fldCharType="begin"/>
      </w:r>
      <w:r>
        <w:instrText xml:space="preserve"> TOC \o "2-3" \h \z \t "Heading 1,1" </w:instrText>
      </w:r>
      <w:r>
        <w:fldChar w:fldCharType="separate"/>
      </w:r>
      <w:hyperlink w:anchor="_Toc109725049" w:history="1">
        <w:r w:rsidR="00373007" w:rsidRPr="00793EA8">
          <w:rPr>
            <w:rStyle w:val="Hyperlink"/>
            <w:noProof/>
          </w:rPr>
          <w:t>I.</w:t>
        </w:r>
        <w:r w:rsidR="00373007">
          <w:rPr>
            <w:rFonts w:asciiTheme="minorHAnsi" w:eastAsiaTheme="minorEastAsia" w:hAnsiTheme="minorHAnsi"/>
            <w:b w:val="0"/>
            <w:noProof/>
            <w:sz w:val="22"/>
          </w:rPr>
          <w:tab/>
        </w:r>
        <w:r w:rsidR="00373007" w:rsidRPr="00793EA8">
          <w:rPr>
            <w:rStyle w:val="Hyperlink"/>
            <w:noProof/>
          </w:rPr>
          <w:t>Introduction</w:t>
        </w:r>
        <w:r w:rsidR="00373007">
          <w:rPr>
            <w:noProof/>
            <w:webHidden/>
          </w:rPr>
          <w:tab/>
        </w:r>
        <w:r w:rsidR="00373007">
          <w:rPr>
            <w:noProof/>
            <w:webHidden/>
          </w:rPr>
          <w:fldChar w:fldCharType="begin"/>
        </w:r>
        <w:r w:rsidR="00373007">
          <w:rPr>
            <w:noProof/>
            <w:webHidden/>
          </w:rPr>
          <w:instrText xml:space="preserve"> PAGEREF _Toc109725049 \h </w:instrText>
        </w:r>
        <w:r w:rsidR="00373007">
          <w:rPr>
            <w:noProof/>
            <w:webHidden/>
          </w:rPr>
        </w:r>
        <w:r w:rsidR="00373007">
          <w:rPr>
            <w:noProof/>
            <w:webHidden/>
          </w:rPr>
          <w:fldChar w:fldCharType="separate"/>
        </w:r>
        <w:r w:rsidR="00373007">
          <w:rPr>
            <w:noProof/>
            <w:webHidden/>
          </w:rPr>
          <w:t>1</w:t>
        </w:r>
        <w:r w:rsidR="00373007">
          <w:rPr>
            <w:noProof/>
            <w:webHidden/>
          </w:rPr>
          <w:fldChar w:fldCharType="end"/>
        </w:r>
      </w:hyperlink>
    </w:p>
    <w:p w14:paraId="682BA00A" w14:textId="7B67FE3B" w:rsidR="00373007" w:rsidRDefault="00D44674">
      <w:pPr>
        <w:pStyle w:val="TOC2"/>
        <w:rPr>
          <w:rFonts w:asciiTheme="minorHAnsi" w:eastAsiaTheme="minorEastAsia" w:hAnsiTheme="minorHAnsi"/>
          <w:b w:val="0"/>
          <w:noProof/>
          <w:sz w:val="22"/>
        </w:rPr>
      </w:pPr>
      <w:hyperlink w:anchor="_Toc109725050" w:history="1">
        <w:r w:rsidR="00373007" w:rsidRPr="00793EA8">
          <w:rPr>
            <w:rStyle w:val="Hyperlink"/>
            <w:noProof/>
          </w:rPr>
          <w:t>II.</w:t>
        </w:r>
        <w:r w:rsidR="00373007">
          <w:rPr>
            <w:rFonts w:asciiTheme="minorHAnsi" w:eastAsiaTheme="minorEastAsia" w:hAnsiTheme="minorHAnsi"/>
            <w:b w:val="0"/>
            <w:noProof/>
            <w:sz w:val="22"/>
          </w:rPr>
          <w:tab/>
        </w:r>
        <w:r w:rsidR="00373007" w:rsidRPr="00793EA8">
          <w:rPr>
            <w:rStyle w:val="Hyperlink"/>
            <w:noProof/>
          </w:rPr>
          <w:t>There are several areas of broad agreement, including support for a policy statement, dislike of receiver mandates, and support for voluntary approaches</w:t>
        </w:r>
        <w:r w:rsidR="00373007">
          <w:rPr>
            <w:noProof/>
            <w:webHidden/>
          </w:rPr>
          <w:tab/>
        </w:r>
        <w:r w:rsidR="00373007">
          <w:rPr>
            <w:noProof/>
            <w:webHidden/>
          </w:rPr>
          <w:fldChar w:fldCharType="begin"/>
        </w:r>
        <w:r w:rsidR="00373007">
          <w:rPr>
            <w:noProof/>
            <w:webHidden/>
          </w:rPr>
          <w:instrText xml:space="preserve"> PAGEREF _Toc109725050 \h </w:instrText>
        </w:r>
        <w:r w:rsidR="00373007">
          <w:rPr>
            <w:noProof/>
            <w:webHidden/>
          </w:rPr>
        </w:r>
        <w:r w:rsidR="00373007">
          <w:rPr>
            <w:noProof/>
            <w:webHidden/>
          </w:rPr>
          <w:fldChar w:fldCharType="separate"/>
        </w:r>
        <w:r w:rsidR="00373007">
          <w:rPr>
            <w:noProof/>
            <w:webHidden/>
          </w:rPr>
          <w:t>1</w:t>
        </w:r>
        <w:r w:rsidR="00373007">
          <w:rPr>
            <w:noProof/>
            <w:webHidden/>
          </w:rPr>
          <w:fldChar w:fldCharType="end"/>
        </w:r>
      </w:hyperlink>
    </w:p>
    <w:p w14:paraId="6CA78A67" w14:textId="71FFAFD3" w:rsidR="00373007" w:rsidRDefault="00D44674">
      <w:pPr>
        <w:pStyle w:val="TOC2"/>
        <w:rPr>
          <w:rFonts w:asciiTheme="minorHAnsi" w:eastAsiaTheme="minorEastAsia" w:hAnsiTheme="minorHAnsi"/>
          <w:b w:val="0"/>
          <w:noProof/>
          <w:sz w:val="22"/>
        </w:rPr>
      </w:pPr>
      <w:hyperlink w:anchor="_Toc109725051" w:history="1">
        <w:r w:rsidR="00373007" w:rsidRPr="00793EA8">
          <w:rPr>
            <w:rStyle w:val="Hyperlink"/>
            <w:noProof/>
          </w:rPr>
          <w:t>III.</w:t>
        </w:r>
        <w:r w:rsidR="00373007">
          <w:rPr>
            <w:rFonts w:asciiTheme="minorHAnsi" w:eastAsiaTheme="minorEastAsia" w:hAnsiTheme="minorHAnsi"/>
            <w:b w:val="0"/>
            <w:noProof/>
            <w:sz w:val="22"/>
          </w:rPr>
          <w:tab/>
        </w:r>
        <w:r w:rsidR="00373007" w:rsidRPr="00793EA8">
          <w:rPr>
            <w:rStyle w:val="Hyperlink"/>
            <w:noProof/>
          </w:rPr>
          <w:t>There is solid support for further exploration of interference limits policy, sometimes with reservations</w:t>
        </w:r>
        <w:r w:rsidR="00373007">
          <w:rPr>
            <w:noProof/>
            <w:webHidden/>
          </w:rPr>
          <w:tab/>
        </w:r>
        <w:r w:rsidR="00373007">
          <w:rPr>
            <w:noProof/>
            <w:webHidden/>
          </w:rPr>
          <w:fldChar w:fldCharType="begin"/>
        </w:r>
        <w:r w:rsidR="00373007">
          <w:rPr>
            <w:noProof/>
            <w:webHidden/>
          </w:rPr>
          <w:instrText xml:space="preserve"> PAGEREF _Toc109725051 \h </w:instrText>
        </w:r>
        <w:r w:rsidR="00373007">
          <w:rPr>
            <w:noProof/>
            <w:webHidden/>
          </w:rPr>
        </w:r>
        <w:r w:rsidR="00373007">
          <w:rPr>
            <w:noProof/>
            <w:webHidden/>
          </w:rPr>
          <w:fldChar w:fldCharType="separate"/>
        </w:r>
        <w:r w:rsidR="00373007">
          <w:rPr>
            <w:noProof/>
            <w:webHidden/>
          </w:rPr>
          <w:t>3</w:t>
        </w:r>
        <w:r w:rsidR="00373007">
          <w:rPr>
            <w:noProof/>
            <w:webHidden/>
          </w:rPr>
          <w:fldChar w:fldCharType="end"/>
        </w:r>
      </w:hyperlink>
    </w:p>
    <w:p w14:paraId="72758B66" w14:textId="22E6E7A9" w:rsidR="00373007" w:rsidRDefault="00D44674">
      <w:pPr>
        <w:pStyle w:val="TOC2"/>
        <w:rPr>
          <w:rFonts w:asciiTheme="minorHAnsi" w:eastAsiaTheme="minorEastAsia" w:hAnsiTheme="minorHAnsi"/>
          <w:b w:val="0"/>
          <w:noProof/>
          <w:sz w:val="22"/>
        </w:rPr>
      </w:pPr>
      <w:hyperlink w:anchor="_Toc109725052" w:history="1">
        <w:r w:rsidR="00373007" w:rsidRPr="00793EA8">
          <w:rPr>
            <w:rStyle w:val="Hyperlink"/>
            <w:noProof/>
          </w:rPr>
          <w:t>IV.</w:t>
        </w:r>
        <w:r w:rsidR="00373007">
          <w:rPr>
            <w:rFonts w:asciiTheme="minorHAnsi" w:eastAsiaTheme="minorEastAsia" w:hAnsiTheme="minorHAnsi"/>
            <w:b w:val="0"/>
            <w:noProof/>
            <w:sz w:val="22"/>
          </w:rPr>
          <w:tab/>
        </w:r>
        <w:r w:rsidR="00373007" w:rsidRPr="00793EA8">
          <w:rPr>
            <w:rStyle w:val="Hyperlink"/>
            <w:noProof/>
          </w:rPr>
          <w:t>Don</w:t>
        </w:r>
        <w:r w:rsidR="003114AC">
          <w:rPr>
            <w:rStyle w:val="Hyperlink"/>
            <w:noProof/>
          </w:rPr>
          <w:t>’</w:t>
        </w:r>
        <w:r w:rsidR="00373007" w:rsidRPr="00793EA8">
          <w:rPr>
            <w:rStyle w:val="Hyperlink"/>
            <w:noProof/>
          </w:rPr>
          <w:t>t shoot the messenger: Many reservations and fears about the interference limit/HCT approach apply to Commission rulemaking generally</w:t>
        </w:r>
        <w:r w:rsidR="00373007">
          <w:rPr>
            <w:noProof/>
            <w:webHidden/>
          </w:rPr>
          <w:tab/>
        </w:r>
        <w:r w:rsidR="00373007">
          <w:rPr>
            <w:noProof/>
            <w:webHidden/>
          </w:rPr>
          <w:fldChar w:fldCharType="begin"/>
        </w:r>
        <w:r w:rsidR="00373007">
          <w:rPr>
            <w:noProof/>
            <w:webHidden/>
          </w:rPr>
          <w:instrText xml:space="preserve"> PAGEREF _Toc109725052 \h </w:instrText>
        </w:r>
        <w:r w:rsidR="00373007">
          <w:rPr>
            <w:noProof/>
            <w:webHidden/>
          </w:rPr>
        </w:r>
        <w:r w:rsidR="00373007">
          <w:rPr>
            <w:noProof/>
            <w:webHidden/>
          </w:rPr>
          <w:fldChar w:fldCharType="separate"/>
        </w:r>
        <w:r w:rsidR="00373007">
          <w:rPr>
            <w:noProof/>
            <w:webHidden/>
          </w:rPr>
          <w:t>5</w:t>
        </w:r>
        <w:r w:rsidR="00373007">
          <w:rPr>
            <w:noProof/>
            <w:webHidden/>
          </w:rPr>
          <w:fldChar w:fldCharType="end"/>
        </w:r>
      </w:hyperlink>
    </w:p>
    <w:p w14:paraId="2271BD2B" w14:textId="7FA2D00A" w:rsidR="00373007" w:rsidRDefault="00D44674" w:rsidP="004776FF">
      <w:pPr>
        <w:pStyle w:val="TOC3"/>
        <w:rPr>
          <w:rFonts w:asciiTheme="minorHAnsi" w:eastAsiaTheme="minorEastAsia" w:hAnsiTheme="minorHAnsi"/>
          <w:noProof/>
          <w:sz w:val="22"/>
        </w:rPr>
      </w:pPr>
      <w:hyperlink w:anchor="_Toc109725053" w:history="1">
        <w:r w:rsidR="00373007" w:rsidRPr="00793EA8">
          <w:rPr>
            <w:rStyle w:val="Hyperlink"/>
            <w:noProof/>
          </w:rPr>
          <w:t>A.</w:t>
        </w:r>
        <w:r w:rsidR="00373007">
          <w:rPr>
            <w:rFonts w:asciiTheme="minorHAnsi" w:eastAsiaTheme="minorEastAsia" w:hAnsiTheme="minorHAnsi"/>
            <w:noProof/>
            <w:sz w:val="22"/>
          </w:rPr>
          <w:tab/>
        </w:r>
        <w:r w:rsidR="00373007" w:rsidRPr="00793EA8">
          <w:rPr>
            <w:rStyle w:val="Hyperlink"/>
            <w:noProof/>
          </w:rPr>
          <w:t>Involving all stakeholders may be contentious and time consuming—it usually is</w:t>
        </w:r>
        <w:r w:rsidR="00373007">
          <w:rPr>
            <w:noProof/>
            <w:webHidden/>
          </w:rPr>
          <w:tab/>
        </w:r>
        <w:r w:rsidR="00373007">
          <w:rPr>
            <w:noProof/>
            <w:webHidden/>
          </w:rPr>
          <w:fldChar w:fldCharType="begin"/>
        </w:r>
        <w:r w:rsidR="00373007">
          <w:rPr>
            <w:noProof/>
            <w:webHidden/>
          </w:rPr>
          <w:instrText xml:space="preserve"> PAGEREF _Toc109725053 \h </w:instrText>
        </w:r>
        <w:r w:rsidR="00373007">
          <w:rPr>
            <w:noProof/>
            <w:webHidden/>
          </w:rPr>
        </w:r>
        <w:r w:rsidR="00373007">
          <w:rPr>
            <w:noProof/>
            <w:webHidden/>
          </w:rPr>
          <w:fldChar w:fldCharType="separate"/>
        </w:r>
        <w:r w:rsidR="00373007">
          <w:rPr>
            <w:noProof/>
            <w:webHidden/>
          </w:rPr>
          <w:t>6</w:t>
        </w:r>
        <w:r w:rsidR="00373007">
          <w:rPr>
            <w:noProof/>
            <w:webHidden/>
          </w:rPr>
          <w:fldChar w:fldCharType="end"/>
        </w:r>
      </w:hyperlink>
    </w:p>
    <w:p w14:paraId="0072F0DE" w14:textId="6066EB57" w:rsidR="00373007" w:rsidRDefault="00D44674" w:rsidP="004776FF">
      <w:pPr>
        <w:pStyle w:val="TOC3"/>
        <w:rPr>
          <w:rFonts w:asciiTheme="minorHAnsi" w:eastAsiaTheme="minorEastAsia" w:hAnsiTheme="minorHAnsi"/>
          <w:noProof/>
          <w:sz w:val="22"/>
        </w:rPr>
      </w:pPr>
      <w:hyperlink w:anchor="_Toc109725054" w:history="1">
        <w:r w:rsidR="00373007" w:rsidRPr="00793EA8">
          <w:rPr>
            <w:rStyle w:val="Hyperlink"/>
            <w:noProof/>
          </w:rPr>
          <w:t>B.</w:t>
        </w:r>
        <w:r w:rsidR="00373007">
          <w:rPr>
            <w:rFonts w:asciiTheme="minorHAnsi" w:eastAsiaTheme="minorEastAsia" w:hAnsiTheme="minorHAnsi"/>
            <w:noProof/>
            <w:sz w:val="22"/>
          </w:rPr>
          <w:tab/>
        </w:r>
        <w:r w:rsidR="00373007" w:rsidRPr="00793EA8">
          <w:rPr>
            <w:rStyle w:val="Hyperlink"/>
            <w:noProof/>
          </w:rPr>
          <w:t>Developing interference limits may require anticipating the future interference environment—just as current rulemaking does</w:t>
        </w:r>
        <w:r w:rsidR="00373007">
          <w:rPr>
            <w:noProof/>
            <w:webHidden/>
          </w:rPr>
          <w:tab/>
        </w:r>
        <w:r w:rsidR="00373007">
          <w:rPr>
            <w:noProof/>
            <w:webHidden/>
          </w:rPr>
          <w:fldChar w:fldCharType="begin"/>
        </w:r>
        <w:r w:rsidR="00373007">
          <w:rPr>
            <w:noProof/>
            <w:webHidden/>
          </w:rPr>
          <w:instrText xml:space="preserve"> PAGEREF _Toc109725054 \h </w:instrText>
        </w:r>
        <w:r w:rsidR="00373007">
          <w:rPr>
            <w:noProof/>
            <w:webHidden/>
          </w:rPr>
        </w:r>
        <w:r w:rsidR="00373007">
          <w:rPr>
            <w:noProof/>
            <w:webHidden/>
          </w:rPr>
          <w:fldChar w:fldCharType="separate"/>
        </w:r>
        <w:r w:rsidR="00373007">
          <w:rPr>
            <w:noProof/>
            <w:webHidden/>
          </w:rPr>
          <w:t>7</w:t>
        </w:r>
        <w:r w:rsidR="00373007">
          <w:rPr>
            <w:noProof/>
            <w:webHidden/>
          </w:rPr>
          <w:fldChar w:fldCharType="end"/>
        </w:r>
      </w:hyperlink>
    </w:p>
    <w:p w14:paraId="548F2ABF" w14:textId="3CDC16C4" w:rsidR="00373007" w:rsidRDefault="00D44674" w:rsidP="004776FF">
      <w:pPr>
        <w:pStyle w:val="TOC3"/>
        <w:rPr>
          <w:rFonts w:asciiTheme="minorHAnsi" w:eastAsiaTheme="minorEastAsia" w:hAnsiTheme="minorHAnsi"/>
          <w:noProof/>
          <w:sz w:val="22"/>
        </w:rPr>
      </w:pPr>
      <w:hyperlink w:anchor="_Toc109725055" w:history="1">
        <w:r w:rsidR="00373007" w:rsidRPr="00793EA8">
          <w:rPr>
            <w:rStyle w:val="Hyperlink"/>
            <w:noProof/>
          </w:rPr>
          <w:t>C.</w:t>
        </w:r>
        <w:r w:rsidR="00373007">
          <w:rPr>
            <w:rFonts w:asciiTheme="minorHAnsi" w:eastAsiaTheme="minorEastAsia" w:hAnsiTheme="minorHAnsi"/>
            <w:noProof/>
            <w:sz w:val="22"/>
          </w:rPr>
          <w:tab/>
        </w:r>
        <w:r w:rsidR="00373007" w:rsidRPr="00793EA8">
          <w:rPr>
            <w:rStyle w:val="Hyperlink"/>
            <w:noProof/>
          </w:rPr>
          <w:t>RF measurements may not be able to identify the responsible party if there are several possibilities—but this is not new</w:t>
        </w:r>
        <w:r w:rsidR="00373007">
          <w:rPr>
            <w:noProof/>
            <w:webHidden/>
          </w:rPr>
          <w:tab/>
        </w:r>
        <w:r w:rsidR="00373007">
          <w:rPr>
            <w:noProof/>
            <w:webHidden/>
          </w:rPr>
          <w:fldChar w:fldCharType="begin"/>
        </w:r>
        <w:r w:rsidR="00373007">
          <w:rPr>
            <w:noProof/>
            <w:webHidden/>
          </w:rPr>
          <w:instrText xml:space="preserve"> PAGEREF _Toc109725055 \h </w:instrText>
        </w:r>
        <w:r w:rsidR="00373007">
          <w:rPr>
            <w:noProof/>
            <w:webHidden/>
          </w:rPr>
        </w:r>
        <w:r w:rsidR="00373007">
          <w:rPr>
            <w:noProof/>
            <w:webHidden/>
          </w:rPr>
          <w:fldChar w:fldCharType="separate"/>
        </w:r>
        <w:r w:rsidR="00373007">
          <w:rPr>
            <w:noProof/>
            <w:webHidden/>
          </w:rPr>
          <w:t>8</w:t>
        </w:r>
        <w:r w:rsidR="00373007">
          <w:rPr>
            <w:noProof/>
            <w:webHidden/>
          </w:rPr>
          <w:fldChar w:fldCharType="end"/>
        </w:r>
      </w:hyperlink>
    </w:p>
    <w:p w14:paraId="1367C0C6" w14:textId="143B65A5" w:rsidR="00373007" w:rsidRDefault="00D44674" w:rsidP="004776FF">
      <w:pPr>
        <w:pStyle w:val="TOC3"/>
        <w:rPr>
          <w:rFonts w:asciiTheme="minorHAnsi" w:eastAsiaTheme="minorEastAsia" w:hAnsiTheme="minorHAnsi"/>
          <w:noProof/>
          <w:sz w:val="22"/>
        </w:rPr>
      </w:pPr>
      <w:hyperlink w:anchor="_Toc109725056" w:history="1">
        <w:r w:rsidR="00373007" w:rsidRPr="00793EA8">
          <w:rPr>
            <w:rStyle w:val="Hyperlink"/>
            <w:noProof/>
          </w:rPr>
          <w:t>D.</w:t>
        </w:r>
        <w:r w:rsidR="00373007">
          <w:rPr>
            <w:rFonts w:asciiTheme="minorHAnsi" w:eastAsiaTheme="minorEastAsia" w:hAnsiTheme="minorHAnsi"/>
            <w:noProof/>
            <w:sz w:val="22"/>
          </w:rPr>
          <w:tab/>
        </w:r>
        <w:r w:rsidR="00373007" w:rsidRPr="00793EA8">
          <w:rPr>
            <w:rStyle w:val="Hyperlink"/>
            <w:noProof/>
          </w:rPr>
          <w:t>The interference limit/HCT approach requires setting numerical values for parameters—but this is a staple of Commission rulemaking</w:t>
        </w:r>
        <w:r w:rsidR="00373007">
          <w:rPr>
            <w:noProof/>
            <w:webHidden/>
          </w:rPr>
          <w:tab/>
        </w:r>
        <w:r w:rsidR="00373007">
          <w:rPr>
            <w:noProof/>
            <w:webHidden/>
          </w:rPr>
          <w:fldChar w:fldCharType="begin"/>
        </w:r>
        <w:r w:rsidR="00373007">
          <w:rPr>
            <w:noProof/>
            <w:webHidden/>
          </w:rPr>
          <w:instrText xml:space="preserve"> PAGEREF _Toc109725056 \h </w:instrText>
        </w:r>
        <w:r w:rsidR="00373007">
          <w:rPr>
            <w:noProof/>
            <w:webHidden/>
          </w:rPr>
        </w:r>
        <w:r w:rsidR="00373007">
          <w:rPr>
            <w:noProof/>
            <w:webHidden/>
          </w:rPr>
          <w:fldChar w:fldCharType="separate"/>
        </w:r>
        <w:r w:rsidR="00373007">
          <w:rPr>
            <w:noProof/>
            <w:webHidden/>
          </w:rPr>
          <w:t>9</w:t>
        </w:r>
        <w:r w:rsidR="00373007">
          <w:rPr>
            <w:noProof/>
            <w:webHidden/>
          </w:rPr>
          <w:fldChar w:fldCharType="end"/>
        </w:r>
      </w:hyperlink>
    </w:p>
    <w:p w14:paraId="0E5B33A4" w14:textId="73FBD91E" w:rsidR="00373007" w:rsidRDefault="00D44674" w:rsidP="004776FF">
      <w:pPr>
        <w:pStyle w:val="TOC3"/>
        <w:rPr>
          <w:rFonts w:asciiTheme="minorHAnsi" w:eastAsiaTheme="minorEastAsia" w:hAnsiTheme="minorHAnsi"/>
          <w:noProof/>
          <w:sz w:val="22"/>
        </w:rPr>
      </w:pPr>
      <w:hyperlink w:anchor="_Toc109725057" w:history="1">
        <w:r w:rsidR="00373007" w:rsidRPr="00793EA8">
          <w:rPr>
            <w:rStyle w:val="Hyperlink"/>
            <w:noProof/>
          </w:rPr>
          <w:t>E.</w:t>
        </w:r>
        <w:r w:rsidR="00373007">
          <w:rPr>
            <w:rFonts w:asciiTheme="minorHAnsi" w:eastAsiaTheme="minorEastAsia" w:hAnsiTheme="minorHAnsi"/>
            <w:noProof/>
            <w:sz w:val="22"/>
          </w:rPr>
          <w:tab/>
        </w:r>
        <w:r w:rsidR="00373007" w:rsidRPr="00793EA8">
          <w:rPr>
            <w:rStyle w:val="Hyperlink"/>
            <w:noProof/>
          </w:rPr>
          <w:t>Concerns about defining and interpreting statistics are not valid—and the variability they capture is inherent in the RF environment</w:t>
        </w:r>
        <w:r w:rsidR="00373007">
          <w:rPr>
            <w:noProof/>
            <w:webHidden/>
          </w:rPr>
          <w:tab/>
        </w:r>
        <w:r w:rsidR="00373007">
          <w:rPr>
            <w:noProof/>
            <w:webHidden/>
          </w:rPr>
          <w:fldChar w:fldCharType="begin"/>
        </w:r>
        <w:r w:rsidR="00373007">
          <w:rPr>
            <w:noProof/>
            <w:webHidden/>
          </w:rPr>
          <w:instrText xml:space="preserve"> PAGEREF _Toc109725057 \h </w:instrText>
        </w:r>
        <w:r w:rsidR="00373007">
          <w:rPr>
            <w:noProof/>
            <w:webHidden/>
          </w:rPr>
        </w:r>
        <w:r w:rsidR="00373007">
          <w:rPr>
            <w:noProof/>
            <w:webHidden/>
          </w:rPr>
          <w:fldChar w:fldCharType="separate"/>
        </w:r>
        <w:r w:rsidR="00373007">
          <w:rPr>
            <w:noProof/>
            <w:webHidden/>
          </w:rPr>
          <w:t>10</w:t>
        </w:r>
        <w:r w:rsidR="00373007">
          <w:rPr>
            <w:noProof/>
            <w:webHidden/>
          </w:rPr>
          <w:fldChar w:fldCharType="end"/>
        </w:r>
      </w:hyperlink>
    </w:p>
    <w:p w14:paraId="5BD8C789" w14:textId="70966DFC" w:rsidR="00373007" w:rsidRDefault="00D44674" w:rsidP="004776FF">
      <w:pPr>
        <w:pStyle w:val="TOC3"/>
        <w:rPr>
          <w:rFonts w:asciiTheme="minorHAnsi" w:eastAsiaTheme="minorEastAsia" w:hAnsiTheme="minorHAnsi"/>
          <w:noProof/>
          <w:sz w:val="22"/>
        </w:rPr>
      </w:pPr>
      <w:hyperlink w:anchor="_Toc109725058" w:history="1">
        <w:r w:rsidR="00373007" w:rsidRPr="00793EA8">
          <w:rPr>
            <w:rStyle w:val="Hyperlink"/>
            <w:noProof/>
          </w:rPr>
          <w:t>F.</w:t>
        </w:r>
        <w:r w:rsidR="00373007">
          <w:rPr>
            <w:rFonts w:asciiTheme="minorHAnsi" w:eastAsiaTheme="minorEastAsia" w:hAnsiTheme="minorHAnsi"/>
            <w:noProof/>
            <w:sz w:val="22"/>
          </w:rPr>
          <w:tab/>
        </w:r>
        <w:r w:rsidR="00373007" w:rsidRPr="00793EA8">
          <w:rPr>
            <w:rStyle w:val="Hyperlink"/>
            <w:noProof/>
          </w:rPr>
          <w:t>Rules that use HCTs could lead to costly harmful interference claims—but so could any other technical rules</w:t>
        </w:r>
        <w:r w:rsidR="00373007">
          <w:rPr>
            <w:noProof/>
            <w:webHidden/>
          </w:rPr>
          <w:tab/>
        </w:r>
        <w:r w:rsidR="00373007">
          <w:rPr>
            <w:noProof/>
            <w:webHidden/>
          </w:rPr>
          <w:fldChar w:fldCharType="begin"/>
        </w:r>
        <w:r w:rsidR="00373007">
          <w:rPr>
            <w:noProof/>
            <w:webHidden/>
          </w:rPr>
          <w:instrText xml:space="preserve"> PAGEREF _Toc109725058 \h </w:instrText>
        </w:r>
        <w:r w:rsidR="00373007">
          <w:rPr>
            <w:noProof/>
            <w:webHidden/>
          </w:rPr>
        </w:r>
        <w:r w:rsidR="00373007">
          <w:rPr>
            <w:noProof/>
            <w:webHidden/>
          </w:rPr>
          <w:fldChar w:fldCharType="separate"/>
        </w:r>
        <w:r w:rsidR="00373007">
          <w:rPr>
            <w:noProof/>
            <w:webHidden/>
          </w:rPr>
          <w:t>11</w:t>
        </w:r>
        <w:r w:rsidR="00373007">
          <w:rPr>
            <w:noProof/>
            <w:webHidden/>
          </w:rPr>
          <w:fldChar w:fldCharType="end"/>
        </w:r>
      </w:hyperlink>
    </w:p>
    <w:p w14:paraId="266BAC03" w14:textId="58CBD2EB" w:rsidR="00373007" w:rsidRDefault="00D44674">
      <w:pPr>
        <w:pStyle w:val="TOC2"/>
        <w:rPr>
          <w:rFonts w:asciiTheme="minorHAnsi" w:eastAsiaTheme="minorEastAsia" w:hAnsiTheme="minorHAnsi"/>
          <w:b w:val="0"/>
          <w:noProof/>
          <w:sz w:val="22"/>
        </w:rPr>
      </w:pPr>
      <w:hyperlink w:anchor="_Toc109725059" w:history="1">
        <w:r w:rsidR="00373007" w:rsidRPr="00793EA8">
          <w:rPr>
            <w:rStyle w:val="Hyperlink"/>
            <w:noProof/>
          </w:rPr>
          <w:t>V.</w:t>
        </w:r>
        <w:r w:rsidR="00373007">
          <w:rPr>
            <w:rFonts w:asciiTheme="minorHAnsi" w:eastAsiaTheme="minorEastAsia" w:hAnsiTheme="minorHAnsi"/>
            <w:b w:val="0"/>
            <w:noProof/>
            <w:sz w:val="22"/>
          </w:rPr>
          <w:tab/>
        </w:r>
        <w:r w:rsidR="00373007" w:rsidRPr="00793EA8">
          <w:rPr>
            <w:rStyle w:val="Hyperlink"/>
            <w:noProof/>
          </w:rPr>
          <w:t>Using HCTs for interference resolution poses challenges, but they can be overcome</w:t>
        </w:r>
        <w:r w:rsidR="00373007">
          <w:rPr>
            <w:noProof/>
            <w:webHidden/>
          </w:rPr>
          <w:tab/>
        </w:r>
        <w:r w:rsidR="00373007">
          <w:rPr>
            <w:noProof/>
            <w:webHidden/>
          </w:rPr>
          <w:fldChar w:fldCharType="begin"/>
        </w:r>
        <w:r w:rsidR="00373007">
          <w:rPr>
            <w:noProof/>
            <w:webHidden/>
          </w:rPr>
          <w:instrText xml:space="preserve"> PAGEREF _Toc109725059 \h </w:instrText>
        </w:r>
        <w:r w:rsidR="00373007">
          <w:rPr>
            <w:noProof/>
            <w:webHidden/>
          </w:rPr>
        </w:r>
        <w:r w:rsidR="00373007">
          <w:rPr>
            <w:noProof/>
            <w:webHidden/>
          </w:rPr>
          <w:fldChar w:fldCharType="separate"/>
        </w:r>
        <w:r w:rsidR="00373007">
          <w:rPr>
            <w:noProof/>
            <w:webHidden/>
          </w:rPr>
          <w:t>12</w:t>
        </w:r>
        <w:r w:rsidR="00373007">
          <w:rPr>
            <w:noProof/>
            <w:webHidden/>
          </w:rPr>
          <w:fldChar w:fldCharType="end"/>
        </w:r>
      </w:hyperlink>
    </w:p>
    <w:p w14:paraId="0BB2AF62" w14:textId="75791A75" w:rsidR="00373007" w:rsidRDefault="00D44674" w:rsidP="004776FF">
      <w:pPr>
        <w:pStyle w:val="TOC3"/>
        <w:rPr>
          <w:rFonts w:asciiTheme="minorHAnsi" w:eastAsiaTheme="minorEastAsia" w:hAnsiTheme="minorHAnsi"/>
          <w:noProof/>
          <w:sz w:val="22"/>
        </w:rPr>
      </w:pPr>
      <w:hyperlink w:anchor="_Toc109725060" w:history="1">
        <w:r w:rsidR="00373007" w:rsidRPr="00793EA8">
          <w:rPr>
            <w:rStyle w:val="Hyperlink"/>
            <w:noProof/>
          </w:rPr>
          <w:t>A.</w:t>
        </w:r>
        <w:r w:rsidR="00373007">
          <w:rPr>
            <w:rFonts w:asciiTheme="minorHAnsi" w:eastAsiaTheme="minorEastAsia" w:hAnsiTheme="minorHAnsi"/>
            <w:noProof/>
            <w:sz w:val="22"/>
          </w:rPr>
          <w:tab/>
        </w:r>
        <w:r w:rsidR="00373007" w:rsidRPr="00793EA8">
          <w:rPr>
            <w:rStyle w:val="Hyperlink"/>
            <w:noProof/>
          </w:rPr>
          <w:t>Making HCT claims may require making field measurements, but modeling is also an option</w:t>
        </w:r>
        <w:r w:rsidR="00373007">
          <w:rPr>
            <w:noProof/>
            <w:webHidden/>
          </w:rPr>
          <w:tab/>
        </w:r>
        <w:r w:rsidR="00373007">
          <w:rPr>
            <w:noProof/>
            <w:webHidden/>
          </w:rPr>
          <w:fldChar w:fldCharType="begin"/>
        </w:r>
        <w:r w:rsidR="00373007">
          <w:rPr>
            <w:noProof/>
            <w:webHidden/>
          </w:rPr>
          <w:instrText xml:space="preserve"> PAGEREF _Toc109725060 \h </w:instrText>
        </w:r>
        <w:r w:rsidR="00373007">
          <w:rPr>
            <w:noProof/>
            <w:webHidden/>
          </w:rPr>
        </w:r>
        <w:r w:rsidR="00373007">
          <w:rPr>
            <w:noProof/>
            <w:webHidden/>
          </w:rPr>
          <w:fldChar w:fldCharType="separate"/>
        </w:r>
        <w:r w:rsidR="00373007">
          <w:rPr>
            <w:noProof/>
            <w:webHidden/>
          </w:rPr>
          <w:t>12</w:t>
        </w:r>
        <w:r w:rsidR="00373007">
          <w:rPr>
            <w:noProof/>
            <w:webHidden/>
          </w:rPr>
          <w:fldChar w:fldCharType="end"/>
        </w:r>
      </w:hyperlink>
    </w:p>
    <w:p w14:paraId="60FEF03B" w14:textId="67A08BCB" w:rsidR="00373007" w:rsidRDefault="00D44674" w:rsidP="004776FF">
      <w:pPr>
        <w:pStyle w:val="TOC3"/>
        <w:rPr>
          <w:rFonts w:asciiTheme="minorHAnsi" w:eastAsiaTheme="minorEastAsia" w:hAnsiTheme="minorHAnsi"/>
          <w:noProof/>
          <w:sz w:val="22"/>
        </w:rPr>
      </w:pPr>
      <w:hyperlink w:anchor="_Toc109725061" w:history="1">
        <w:r w:rsidR="00373007" w:rsidRPr="00793EA8">
          <w:rPr>
            <w:rStyle w:val="Hyperlink"/>
            <w:noProof/>
          </w:rPr>
          <w:t>B.</w:t>
        </w:r>
        <w:r w:rsidR="00373007">
          <w:rPr>
            <w:rFonts w:asciiTheme="minorHAnsi" w:eastAsiaTheme="minorEastAsia" w:hAnsiTheme="minorHAnsi"/>
            <w:noProof/>
            <w:sz w:val="22"/>
          </w:rPr>
          <w:tab/>
        </w:r>
        <w:r w:rsidR="00373007" w:rsidRPr="00793EA8">
          <w:rPr>
            <w:rStyle w:val="Hyperlink"/>
            <w:noProof/>
          </w:rPr>
          <w:t>HCTs as proposed place the burden of pleading on the party claiming harmful interference, but the burden could be spread</w:t>
        </w:r>
        <w:r w:rsidR="00373007">
          <w:rPr>
            <w:noProof/>
            <w:webHidden/>
          </w:rPr>
          <w:tab/>
        </w:r>
        <w:r w:rsidR="00373007">
          <w:rPr>
            <w:noProof/>
            <w:webHidden/>
          </w:rPr>
          <w:fldChar w:fldCharType="begin"/>
        </w:r>
        <w:r w:rsidR="00373007">
          <w:rPr>
            <w:noProof/>
            <w:webHidden/>
          </w:rPr>
          <w:instrText xml:space="preserve"> PAGEREF _Toc109725061 \h </w:instrText>
        </w:r>
        <w:r w:rsidR="00373007">
          <w:rPr>
            <w:noProof/>
            <w:webHidden/>
          </w:rPr>
        </w:r>
        <w:r w:rsidR="00373007">
          <w:rPr>
            <w:noProof/>
            <w:webHidden/>
          </w:rPr>
          <w:fldChar w:fldCharType="separate"/>
        </w:r>
        <w:r w:rsidR="00373007">
          <w:rPr>
            <w:noProof/>
            <w:webHidden/>
          </w:rPr>
          <w:t>13</w:t>
        </w:r>
        <w:r w:rsidR="00373007">
          <w:rPr>
            <w:noProof/>
            <w:webHidden/>
          </w:rPr>
          <w:fldChar w:fldCharType="end"/>
        </w:r>
      </w:hyperlink>
    </w:p>
    <w:p w14:paraId="2F52F907" w14:textId="639BC76B" w:rsidR="00373007" w:rsidRDefault="00D44674">
      <w:pPr>
        <w:pStyle w:val="TOC2"/>
        <w:rPr>
          <w:rFonts w:asciiTheme="minorHAnsi" w:eastAsiaTheme="minorEastAsia" w:hAnsiTheme="minorHAnsi"/>
          <w:b w:val="0"/>
          <w:noProof/>
          <w:sz w:val="22"/>
        </w:rPr>
      </w:pPr>
      <w:hyperlink w:anchor="_Toc109725062" w:history="1">
        <w:r w:rsidR="00373007" w:rsidRPr="00793EA8">
          <w:rPr>
            <w:rStyle w:val="Hyperlink"/>
            <w:noProof/>
          </w:rPr>
          <w:t>VI.</w:t>
        </w:r>
        <w:r w:rsidR="00373007">
          <w:rPr>
            <w:rFonts w:asciiTheme="minorHAnsi" w:eastAsiaTheme="minorEastAsia" w:hAnsiTheme="minorHAnsi"/>
            <w:b w:val="0"/>
            <w:noProof/>
            <w:sz w:val="22"/>
          </w:rPr>
          <w:tab/>
        </w:r>
        <w:r w:rsidR="00373007" w:rsidRPr="00793EA8">
          <w:rPr>
            <w:rStyle w:val="Hyperlink"/>
            <w:noProof/>
          </w:rPr>
          <w:t>Some comments misunderstand the intent and uses interference limits and harm claim thresholds</w:t>
        </w:r>
        <w:r w:rsidR="00373007">
          <w:rPr>
            <w:noProof/>
            <w:webHidden/>
          </w:rPr>
          <w:tab/>
        </w:r>
        <w:r w:rsidR="00373007">
          <w:rPr>
            <w:noProof/>
            <w:webHidden/>
          </w:rPr>
          <w:fldChar w:fldCharType="begin"/>
        </w:r>
        <w:r w:rsidR="00373007">
          <w:rPr>
            <w:noProof/>
            <w:webHidden/>
          </w:rPr>
          <w:instrText xml:space="preserve"> PAGEREF _Toc109725062 \h </w:instrText>
        </w:r>
        <w:r w:rsidR="00373007">
          <w:rPr>
            <w:noProof/>
            <w:webHidden/>
          </w:rPr>
        </w:r>
        <w:r w:rsidR="00373007">
          <w:rPr>
            <w:noProof/>
            <w:webHidden/>
          </w:rPr>
          <w:fldChar w:fldCharType="separate"/>
        </w:r>
        <w:r w:rsidR="00373007">
          <w:rPr>
            <w:noProof/>
            <w:webHidden/>
          </w:rPr>
          <w:t>14</w:t>
        </w:r>
        <w:r w:rsidR="00373007">
          <w:rPr>
            <w:noProof/>
            <w:webHidden/>
          </w:rPr>
          <w:fldChar w:fldCharType="end"/>
        </w:r>
      </w:hyperlink>
    </w:p>
    <w:p w14:paraId="1D28431C" w14:textId="7C6F6999" w:rsidR="00373007" w:rsidRDefault="00D44674">
      <w:pPr>
        <w:pStyle w:val="TOC2"/>
        <w:rPr>
          <w:rFonts w:asciiTheme="minorHAnsi" w:eastAsiaTheme="minorEastAsia" w:hAnsiTheme="minorHAnsi"/>
          <w:b w:val="0"/>
          <w:noProof/>
          <w:sz w:val="22"/>
        </w:rPr>
      </w:pPr>
      <w:hyperlink w:anchor="_Toc109725063" w:history="1">
        <w:r w:rsidR="00373007" w:rsidRPr="00793EA8">
          <w:rPr>
            <w:rStyle w:val="Hyperlink"/>
            <w:noProof/>
          </w:rPr>
          <w:t>VII.</w:t>
        </w:r>
        <w:r w:rsidR="00373007">
          <w:rPr>
            <w:rFonts w:asciiTheme="minorHAnsi" w:eastAsiaTheme="minorEastAsia" w:hAnsiTheme="minorHAnsi"/>
            <w:b w:val="0"/>
            <w:noProof/>
            <w:sz w:val="22"/>
          </w:rPr>
          <w:tab/>
        </w:r>
        <w:r w:rsidR="00373007" w:rsidRPr="00793EA8">
          <w:rPr>
            <w:rStyle w:val="Hyperlink"/>
            <w:noProof/>
          </w:rPr>
          <w:t>The way forward</w:t>
        </w:r>
        <w:r w:rsidR="00373007">
          <w:rPr>
            <w:noProof/>
            <w:webHidden/>
          </w:rPr>
          <w:tab/>
        </w:r>
        <w:r w:rsidR="00373007">
          <w:rPr>
            <w:noProof/>
            <w:webHidden/>
          </w:rPr>
          <w:fldChar w:fldCharType="begin"/>
        </w:r>
        <w:r w:rsidR="00373007">
          <w:rPr>
            <w:noProof/>
            <w:webHidden/>
          </w:rPr>
          <w:instrText xml:space="preserve"> PAGEREF _Toc109725063 \h </w:instrText>
        </w:r>
        <w:r w:rsidR="00373007">
          <w:rPr>
            <w:noProof/>
            <w:webHidden/>
          </w:rPr>
        </w:r>
        <w:r w:rsidR="00373007">
          <w:rPr>
            <w:noProof/>
            <w:webHidden/>
          </w:rPr>
          <w:fldChar w:fldCharType="separate"/>
        </w:r>
        <w:r w:rsidR="00373007">
          <w:rPr>
            <w:noProof/>
            <w:webHidden/>
          </w:rPr>
          <w:t>16</w:t>
        </w:r>
        <w:r w:rsidR="00373007">
          <w:rPr>
            <w:noProof/>
            <w:webHidden/>
          </w:rPr>
          <w:fldChar w:fldCharType="end"/>
        </w:r>
      </w:hyperlink>
    </w:p>
    <w:p w14:paraId="2CA33A2D" w14:textId="34F14085" w:rsidR="00373007" w:rsidRDefault="00D44674" w:rsidP="004776FF">
      <w:pPr>
        <w:pStyle w:val="TOC3"/>
        <w:rPr>
          <w:rFonts w:asciiTheme="minorHAnsi" w:eastAsiaTheme="minorEastAsia" w:hAnsiTheme="minorHAnsi"/>
          <w:noProof/>
          <w:sz w:val="22"/>
        </w:rPr>
      </w:pPr>
      <w:hyperlink w:anchor="_Toc109725064" w:history="1">
        <w:r w:rsidR="00373007" w:rsidRPr="00793EA8">
          <w:rPr>
            <w:rStyle w:val="Hyperlink"/>
            <w:noProof/>
          </w:rPr>
          <w:t>A.</w:t>
        </w:r>
        <w:r w:rsidR="00373007">
          <w:rPr>
            <w:rFonts w:asciiTheme="minorHAnsi" w:eastAsiaTheme="minorEastAsia" w:hAnsiTheme="minorHAnsi"/>
            <w:noProof/>
            <w:sz w:val="22"/>
          </w:rPr>
          <w:tab/>
        </w:r>
        <w:r w:rsidR="00373007" w:rsidRPr="00793EA8">
          <w:rPr>
            <w:rStyle w:val="Hyperlink"/>
            <w:noProof/>
          </w:rPr>
          <w:t>The Commission should issue a policy statement that describes how it will assess radio system compatibility</w:t>
        </w:r>
        <w:r w:rsidR="00373007">
          <w:rPr>
            <w:noProof/>
            <w:webHidden/>
          </w:rPr>
          <w:tab/>
        </w:r>
        <w:r w:rsidR="00373007">
          <w:rPr>
            <w:noProof/>
            <w:webHidden/>
          </w:rPr>
          <w:fldChar w:fldCharType="begin"/>
        </w:r>
        <w:r w:rsidR="00373007">
          <w:rPr>
            <w:noProof/>
            <w:webHidden/>
          </w:rPr>
          <w:instrText xml:space="preserve"> PAGEREF _Toc109725064 \h </w:instrText>
        </w:r>
        <w:r w:rsidR="00373007">
          <w:rPr>
            <w:noProof/>
            <w:webHidden/>
          </w:rPr>
        </w:r>
        <w:r w:rsidR="00373007">
          <w:rPr>
            <w:noProof/>
            <w:webHidden/>
          </w:rPr>
          <w:fldChar w:fldCharType="separate"/>
        </w:r>
        <w:r w:rsidR="00373007">
          <w:rPr>
            <w:noProof/>
            <w:webHidden/>
          </w:rPr>
          <w:t>16</w:t>
        </w:r>
        <w:r w:rsidR="00373007">
          <w:rPr>
            <w:noProof/>
            <w:webHidden/>
          </w:rPr>
          <w:fldChar w:fldCharType="end"/>
        </w:r>
      </w:hyperlink>
    </w:p>
    <w:p w14:paraId="0CFBA23F" w14:textId="342D377F" w:rsidR="00373007" w:rsidRDefault="00D44674" w:rsidP="004776FF">
      <w:pPr>
        <w:pStyle w:val="TOC3"/>
        <w:rPr>
          <w:rFonts w:asciiTheme="minorHAnsi" w:eastAsiaTheme="minorEastAsia" w:hAnsiTheme="minorHAnsi"/>
          <w:noProof/>
          <w:sz w:val="22"/>
        </w:rPr>
      </w:pPr>
      <w:hyperlink w:anchor="_Toc109725065" w:history="1">
        <w:r w:rsidR="00373007" w:rsidRPr="00793EA8">
          <w:rPr>
            <w:rStyle w:val="Hyperlink"/>
            <w:noProof/>
          </w:rPr>
          <w:t>B.</w:t>
        </w:r>
        <w:r w:rsidR="00373007">
          <w:rPr>
            <w:rFonts w:asciiTheme="minorHAnsi" w:eastAsiaTheme="minorEastAsia" w:hAnsiTheme="minorHAnsi"/>
            <w:noProof/>
            <w:sz w:val="22"/>
          </w:rPr>
          <w:tab/>
        </w:r>
        <w:r w:rsidR="00373007" w:rsidRPr="00793EA8">
          <w:rPr>
            <w:rStyle w:val="Hyperlink"/>
            <w:noProof/>
          </w:rPr>
          <w:t>The Commission should pilot interference limits in a limited-scope reallocation or rule change</w:t>
        </w:r>
        <w:r w:rsidR="00373007">
          <w:rPr>
            <w:noProof/>
            <w:webHidden/>
          </w:rPr>
          <w:tab/>
        </w:r>
        <w:r w:rsidR="00373007">
          <w:rPr>
            <w:noProof/>
            <w:webHidden/>
          </w:rPr>
          <w:fldChar w:fldCharType="begin"/>
        </w:r>
        <w:r w:rsidR="00373007">
          <w:rPr>
            <w:noProof/>
            <w:webHidden/>
          </w:rPr>
          <w:instrText xml:space="preserve"> PAGEREF _Toc109725065 \h </w:instrText>
        </w:r>
        <w:r w:rsidR="00373007">
          <w:rPr>
            <w:noProof/>
            <w:webHidden/>
          </w:rPr>
        </w:r>
        <w:r w:rsidR="00373007">
          <w:rPr>
            <w:noProof/>
            <w:webHidden/>
          </w:rPr>
          <w:fldChar w:fldCharType="separate"/>
        </w:r>
        <w:r w:rsidR="00373007">
          <w:rPr>
            <w:noProof/>
            <w:webHidden/>
          </w:rPr>
          <w:t>16</w:t>
        </w:r>
        <w:r w:rsidR="00373007">
          <w:rPr>
            <w:noProof/>
            <w:webHidden/>
          </w:rPr>
          <w:fldChar w:fldCharType="end"/>
        </w:r>
      </w:hyperlink>
    </w:p>
    <w:p w14:paraId="2C8C12D2" w14:textId="69DBBD7A" w:rsidR="00373007" w:rsidRDefault="00D44674" w:rsidP="004776FF">
      <w:pPr>
        <w:pStyle w:val="TOC3"/>
        <w:rPr>
          <w:rFonts w:asciiTheme="minorHAnsi" w:eastAsiaTheme="minorEastAsia" w:hAnsiTheme="minorHAnsi"/>
          <w:noProof/>
          <w:sz w:val="22"/>
        </w:rPr>
      </w:pPr>
      <w:hyperlink w:anchor="_Toc109725066" w:history="1">
        <w:r w:rsidR="00373007" w:rsidRPr="00793EA8">
          <w:rPr>
            <w:rStyle w:val="Hyperlink"/>
            <w:noProof/>
          </w:rPr>
          <w:t>C.</w:t>
        </w:r>
        <w:r w:rsidR="00373007">
          <w:rPr>
            <w:rFonts w:asciiTheme="minorHAnsi" w:eastAsiaTheme="minorEastAsia" w:hAnsiTheme="minorHAnsi"/>
            <w:noProof/>
            <w:sz w:val="22"/>
          </w:rPr>
          <w:tab/>
        </w:r>
        <w:r w:rsidR="00373007" w:rsidRPr="00793EA8">
          <w:rPr>
            <w:rStyle w:val="Hyperlink"/>
            <w:noProof/>
          </w:rPr>
          <w:t>Other proposals in the record can support the use of interference limits</w:t>
        </w:r>
        <w:r w:rsidR="00373007">
          <w:rPr>
            <w:noProof/>
            <w:webHidden/>
          </w:rPr>
          <w:tab/>
        </w:r>
        <w:r w:rsidR="00373007">
          <w:rPr>
            <w:noProof/>
            <w:webHidden/>
          </w:rPr>
          <w:fldChar w:fldCharType="begin"/>
        </w:r>
        <w:r w:rsidR="00373007">
          <w:rPr>
            <w:noProof/>
            <w:webHidden/>
          </w:rPr>
          <w:instrText xml:space="preserve"> PAGEREF _Toc109725066 \h </w:instrText>
        </w:r>
        <w:r w:rsidR="00373007">
          <w:rPr>
            <w:noProof/>
            <w:webHidden/>
          </w:rPr>
        </w:r>
        <w:r w:rsidR="00373007">
          <w:rPr>
            <w:noProof/>
            <w:webHidden/>
          </w:rPr>
          <w:fldChar w:fldCharType="separate"/>
        </w:r>
        <w:r w:rsidR="00373007">
          <w:rPr>
            <w:noProof/>
            <w:webHidden/>
          </w:rPr>
          <w:t>18</w:t>
        </w:r>
        <w:r w:rsidR="00373007">
          <w:rPr>
            <w:noProof/>
            <w:webHidden/>
          </w:rPr>
          <w:fldChar w:fldCharType="end"/>
        </w:r>
      </w:hyperlink>
    </w:p>
    <w:p w14:paraId="14BAC427" w14:textId="777305B4" w:rsidR="00373007" w:rsidRDefault="00D44674">
      <w:pPr>
        <w:pStyle w:val="TOC2"/>
        <w:tabs>
          <w:tab w:val="left" w:pos="864"/>
        </w:tabs>
        <w:rPr>
          <w:rFonts w:asciiTheme="minorHAnsi" w:eastAsiaTheme="minorEastAsia" w:hAnsiTheme="minorHAnsi"/>
          <w:b w:val="0"/>
          <w:noProof/>
          <w:sz w:val="22"/>
        </w:rPr>
      </w:pPr>
      <w:hyperlink w:anchor="_Toc109725067" w:history="1">
        <w:r w:rsidR="00373007" w:rsidRPr="00793EA8">
          <w:rPr>
            <w:rStyle w:val="Hyperlink"/>
            <w:noProof/>
          </w:rPr>
          <w:t>VIII.</w:t>
        </w:r>
        <w:r w:rsidR="00373007">
          <w:rPr>
            <w:rFonts w:asciiTheme="minorHAnsi" w:eastAsiaTheme="minorEastAsia" w:hAnsiTheme="minorHAnsi"/>
            <w:b w:val="0"/>
            <w:noProof/>
            <w:sz w:val="22"/>
          </w:rPr>
          <w:tab/>
        </w:r>
        <w:r w:rsidR="00373007" w:rsidRPr="00793EA8">
          <w:rPr>
            <w:rStyle w:val="Hyperlink"/>
            <w:noProof/>
          </w:rPr>
          <w:t>Conclusions</w:t>
        </w:r>
        <w:r w:rsidR="00373007">
          <w:rPr>
            <w:noProof/>
            <w:webHidden/>
          </w:rPr>
          <w:tab/>
        </w:r>
        <w:r w:rsidR="00373007">
          <w:rPr>
            <w:noProof/>
            <w:webHidden/>
          </w:rPr>
          <w:fldChar w:fldCharType="begin"/>
        </w:r>
        <w:r w:rsidR="00373007">
          <w:rPr>
            <w:noProof/>
            <w:webHidden/>
          </w:rPr>
          <w:instrText xml:space="preserve"> PAGEREF _Toc109725067 \h </w:instrText>
        </w:r>
        <w:r w:rsidR="00373007">
          <w:rPr>
            <w:noProof/>
            <w:webHidden/>
          </w:rPr>
        </w:r>
        <w:r w:rsidR="00373007">
          <w:rPr>
            <w:noProof/>
            <w:webHidden/>
          </w:rPr>
          <w:fldChar w:fldCharType="separate"/>
        </w:r>
        <w:r w:rsidR="00373007">
          <w:rPr>
            <w:noProof/>
            <w:webHidden/>
          </w:rPr>
          <w:t>21</w:t>
        </w:r>
        <w:r w:rsidR="00373007">
          <w:rPr>
            <w:noProof/>
            <w:webHidden/>
          </w:rPr>
          <w:fldChar w:fldCharType="end"/>
        </w:r>
      </w:hyperlink>
    </w:p>
    <w:p w14:paraId="4439F628" w14:textId="5C03D90B" w:rsidR="00D6362F" w:rsidRDefault="00671D37">
      <w:r>
        <w:fldChar w:fldCharType="end"/>
      </w:r>
    </w:p>
    <w:p w14:paraId="012B4DFE" w14:textId="77777777" w:rsidR="00D6362F" w:rsidRDefault="00D6362F">
      <w:pPr>
        <w:sectPr w:rsidR="00D6362F" w:rsidSect="00E940F5">
          <w:footerReference w:type="default" r:id="rId8"/>
          <w:footnotePr>
            <w:numFmt w:val="chicago"/>
          </w:footnotePr>
          <w:pgSz w:w="12240" w:h="15840" w:code="1"/>
          <w:pgMar w:top="1440" w:right="1440" w:bottom="1440" w:left="1440" w:header="720" w:footer="720" w:gutter="0"/>
          <w:cols w:space="720"/>
          <w:titlePg/>
          <w:docGrid w:linePitch="360"/>
        </w:sectPr>
      </w:pPr>
    </w:p>
    <w:p w14:paraId="0A514F5F" w14:textId="03F4A5A4" w:rsidR="00295901" w:rsidRDefault="00295901" w:rsidP="005B0570">
      <w:pPr>
        <w:pStyle w:val="Heading1notoc"/>
      </w:pPr>
      <w:r>
        <w:lastRenderedPageBreak/>
        <w:t>Reply comment</w:t>
      </w:r>
      <w:r w:rsidR="00407DE0">
        <w:t>s of JP de Vries</w:t>
      </w:r>
    </w:p>
    <w:p w14:paraId="5456DA3D" w14:textId="544298BC" w:rsidR="00620587" w:rsidRDefault="00620587" w:rsidP="00D0685F">
      <w:pPr>
        <w:pStyle w:val="Heading2"/>
      </w:pPr>
      <w:bookmarkStart w:id="2" w:name="_Toc109725049"/>
      <w:r>
        <w:t>Introduction</w:t>
      </w:r>
      <w:bookmarkEnd w:id="2"/>
    </w:p>
    <w:p w14:paraId="1EE0D307" w14:textId="5A44F54E" w:rsidR="00431015" w:rsidRDefault="00620587" w:rsidP="00620587">
      <w:pPr>
        <w:pStyle w:val="BodyDoubleSpIndent"/>
      </w:pPr>
      <w:r>
        <w:t xml:space="preserve">I submit these reply comments in response </w:t>
      </w:r>
      <w:r w:rsidRPr="00C92BE9">
        <w:t>to the Federal Communications Commission</w:t>
      </w:r>
      <w:r w:rsidR="003114AC">
        <w:t>’</w:t>
      </w:r>
      <w:r w:rsidRPr="00C92BE9">
        <w:t xml:space="preserve">s (FCC or Commission) Notice of </w:t>
      </w:r>
      <w:r>
        <w:t>Inquiry</w:t>
      </w:r>
      <w:r w:rsidR="00854FB5">
        <w:t xml:space="preserve"> </w:t>
      </w:r>
      <w:r w:rsidRPr="00C92BE9">
        <w:t xml:space="preserve">in </w:t>
      </w:r>
      <w:r w:rsidR="00AE1574" w:rsidRPr="00AE1574">
        <w:rPr>
          <w:bCs/>
          <w:iCs/>
        </w:rPr>
        <w:t>ET Docket No. 22-137</w:t>
      </w:r>
      <w:r>
        <w:t>.</w:t>
      </w:r>
      <w:r>
        <w:rPr>
          <w:rStyle w:val="FootnoteReference"/>
        </w:rPr>
        <w:footnoteReference w:id="2"/>
      </w:r>
      <w:r>
        <w:t xml:space="preserve"> In the </w:t>
      </w:r>
      <w:r w:rsidRPr="002C3020">
        <w:rPr>
          <w:i/>
          <w:iCs/>
        </w:rPr>
        <w:t>NOI</w:t>
      </w:r>
      <w:r>
        <w:t xml:space="preserve">, the Commission takes a fresh look at the role of interference immunity, including receiver performance, in </w:t>
      </w:r>
      <w:r w:rsidR="00B802C0">
        <w:t>radio system</w:t>
      </w:r>
      <w:r w:rsidR="00295BEE">
        <w:t xml:space="preserve"> coexistence</w:t>
      </w:r>
      <w:r>
        <w:t xml:space="preserve">. </w:t>
      </w:r>
    </w:p>
    <w:p w14:paraId="4A163A8F" w14:textId="240FB25C" w:rsidR="00A10074" w:rsidRDefault="008D2C75" w:rsidP="00463011">
      <w:pPr>
        <w:pStyle w:val="BodyDoubleSpIndent"/>
      </w:pPr>
      <w:r>
        <w:t>The way forward is clear. T</w:t>
      </w:r>
      <w:r w:rsidR="00217AFC">
        <w:t xml:space="preserve">here is </w:t>
      </w:r>
      <w:r w:rsidR="00DF70AC">
        <w:t>broad</w:t>
      </w:r>
      <w:r w:rsidR="00217AFC">
        <w:t xml:space="preserve"> support in the record for</w:t>
      </w:r>
      <w:r w:rsidR="0040315D">
        <w:t xml:space="preserve"> t</w:t>
      </w:r>
      <w:r w:rsidR="00A10074">
        <w:t xml:space="preserve">he Commission </w:t>
      </w:r>
      <w:r w:rsidR="00217AFC">
        <w:t xml:space="preserve">to </w:t>
      </w:r>
      <w:r w:rsidR="004C395B">
        <w:t xml:space="preserve">issue a policy statement that </w:t>
      </w:r>
      <w:r w:rsidR="00A10074">
        <w:t>lay</w:t>
      </w:r>
      <w:r w:rsidR="004C395B">
        <w:t>s</w:t>
      </w:r>
      <w:r w:rsidR="00A10074">
        <w:t xml:space="preserve"> out how it </w:t>
      </w:r>
      <w:r w:rsidR="004C395B">
        <w:t xml:space="preserve">will </w:t>
      </w:r>
      <w:r w:rsidR="00A10074">
        <w:t>assess compatibility between radio systems</w:t>
      </w:r>
      <w:r w:rsidR="0040315D">
        <w:t xml:space="preserve">. It should then </w:t>
      </w:r>
      <w:r w:rsidR="00A10074">
        <w:t xml:space="preserve">pilot interference limits (but not harm claim thresholds) in a </w:t>
      </w:r>
      <w:r w:rsidR="00572C1F">
        <w:t xml:space="preserve">limited-scope </w:t>
      </w:r>
      <w:r w:rsidR="00A10074">
        <w:t>reallocation</w:t>
      </w:r>
      <w:r w:rsidR="00E57115">
        <w:t xml:space="preserve"> proceeding</w:t>
      </w:r>
      <w:r w:rsidR="00FB5D93">
        <w:t xml:space="preserve"> </w:t>
      </w:r>
      <w:r w:rsidR="00572C1F">
        <w:t>or ad hoc rule change</w:t>
      </w:r>
      <w:r w:rsidR="00E57115">
        <w:t>.</w:t>
      </w:r>
    </w:p>
    <w:p w14:paraId="349ECDA1" w14:textId="055CDF6F" w:rsidR="00620587" w:rsidRPr="00811261" w:rsidRDefault="00620587" w:rsidP="005619D6">
      <w:pPr>
        <w:pStyle w:val="Heading2"/>
      </w:pPr>
      <w:bookmarkStart w:id="3" w:name="_Ref108977295"/>
      <w:bookmarkStart w:id="4" w:name="_Toc109725050"/>
      <w:r w:rsidRPr="00811261">
        <w:t>There are several areas of broad agreement, including support for a policy statement, dislike of receiver mandates, and support for voluntary approaches</w:t>
      </w:r>
      <w:bookmarkEnd w:id="3"/>
      <w:bookmarkEnd w:id="4"/>
    </w:p>
    <w:p w14:paraId="4B4359ED" w14:textId="67357294" w:rsidR="00620587" w:rsidRDefault="00620587" w:rsidP="007B389D">
      <w:pPr>
        <w:pStyle w:val="BodyDoubleSpIndent"/>
      </w:pPr>
      <w:r>
        <w:t>I am heartened by the consensus</w:t>
      </w:r>
      <w:r w:rsidR="00D52BAA">
        <w:t xml:space="preserve"> in the comments</w:t>
      </w:r>
      <w:r>
        <w:t xml:space="preserve"> that the interference immunity of radio systems is a</w:t>
      </w:r>
      <w:r w:rsidR="009C2468">
        <w:t xml:space="preserve"> critical </w:t>
      </w:r>
      <w:r>
        <w:t xml:space="preserve">issue </w:t>
      </w:r>
      <w:r w:rsidR="00270757">
        <w:t xml:space="preserve">that </w:t>
      </w:r>
      <w:r>
        <w:t>should be addressed</w:t>
      </w:r>
      <w:r w:rsidR="00270757">
        <w:t xml:space="preserve"> explicitly</w:t>
      </w:r>
      <w:r>
        <w:t xml:space="preserve">. There is support for a policy statement </w:t>
      </w:r>
      <w:r w:rsidR="009817BC">
        <w:t>that describes</w:t>
      </w:r>
      <w:r w:rsidR="007B389D">
        <w:t xml:space="preserve"> how the Commission would assess compatibility between radio systems</w:t>
      </w:r>
      <w:r w:rsidR="00075236">
        <w:t>, although sometimes with reservations, exceptions, and suggested alternatives</w:t>
      </w:r>
      <w:r>
        <w:t>.</w:t>
      </w:r>
      <w:bookmarkStart w:id="5" w:name="_Ref109122706"/>
      <w:r w:rsidR="00CA76C6">
        <w:rPr>
          <w:rStyle w:val="FootnoteReference"/>
        </w:rPr>
        <w:footnoteReference w:id="3"/>
      </w:r>
      <w:bookmarkEnd w:id="5"/>
      <w:r w:rsidR="003D0CA2">
        <w:t xml:space="preserve"> </w:t>
      </w:r>
    </w:p>
    <w:p w14:paraId="1F7113B9" w14:textId="3DE3EE43" w:rsidR="00EC4350" w:rsidRPr="00E33928" w:rsidRDefault="00620587" w:rsidP="005619D6">
      <w:pPr>
        <w:pStyle w:val="BodyDoubleSpIndent"/>
      </w:pPr>
      <w:r>
        <w:t>There is almost universal condemnation of receiver mandates and widespread support for voluntary approaches, although the problem of how</w:t>
      </w:r>
      <w:r w:rsidR="008B5A5E">
        <w:t xml:space="preserve"> industry</w:t>
      </w:r>
      <w:r>
        <w:t xml:space="preserve"> standards would reflect </w:t>
      </w:r>
      <w:r w:rsidR="008B5A5E">
        <w:t xml:space="preserve">the </w:t>
      </w:r>
      <w:r>
        <w:t xml:space="preserve">interests of </w:t>
      </w:r>
      <w:r w:rsidR="00E03D92">
        <w:t xml:space="preserve">all </w:t>
      </w:r>
      <w:r>
        <w:t xml:space="preserve">disparate neighbors across a band boundary is scarcely addressed. </w:t>
      </w:r>
      <w:r w:rsidR="001F2008">
        <w:t xml:space="preserve">Nokia, however, </w:t>
      </w:r>
      <w:r w:rsidR="001F2008">
        <w:lastRenderedPageBreak/>
        <w:t xml:space="preserve">observes that </w:t>
      </w:r>
      <w:r w:rsidR="003114AC">
        <w:t>“</w:t>
      </w:r>
      <w:r w:rsidR="004953E5">
        <w:t>s</w:t>
      </w:r>
      <w:r w:rsidR="004953E5" w:rsidRPr="00306368">
        <w:t>takeholders have little incentive to evolve their technologies to benefit a different industry</w:t>
      </w:r>
      <w:r w:rsidR="003114AC">
        <w:t>”</w:t>
      </w:r>
      <w:r w:rsidR="004953E5">
        <w:t xml:space="preserve"> and that for this and other reasons, </w:t>
      </w:r>
      <w:r w:rsidR="003114AC">
        <w:t>“</w:t>
      </w:r>
      <w:r w:rsidR="004953E5" w:rsidRPr="00306368">
        <w:t xml:space="preserve">a voluntary approach may not lead to cross-industry solution </w:t>
      </w:r>
      <w:r w:rsidR="002F74DF">
        <w:t xml:space="preserve">[sic] </w:t>
      </w:r>
      <w:r w:rsidR="004953E5" w:rsidRPr="00306368">
        <w:t>agreeable to all parties</w:t>
      </w:r>
      <w:r w:rsidR="004953E5">
        <w:t>.</w:t>
      </w:r>
      <w:r w:rsidR="003114AC">
        <w:t>”</w:t>
      </w:r>
      <w:r w:rsidR="004953E5">
        <w:rPr>
          <w:rStyle w:val="FootnoteReference"/>
        </w:rPr>
        <w:footnoteReference w:id="4"/>
      </w:r>
      <w:r w:rsidR="004953E5">
        <w:t xml:space="preserve"> </w:t>
      </w:r>
      <w:r w:rsidR="00B152A0">
        <w:t>I</w:t>
      </w:r>
      <w:r w:rsidR="00EC4350" w:rsidRPr="00E33928">
        <w:t xml:space="preserve">ndustry-developed standards </w:t>
      </w:r>
      <w:r w:rsidR="00EC4350">
        <w:t xml:space="preserve">are unlikely to be </w:t>
      </w:r>
      <w:r w:rsidR="002F1A2E">
        <w:t xml:space="preserve">a </w:t>
      </w:r>
      <w:r w:rsidR="00EC4350">
        <w:t>viable, general solution for preventing conflicts over interference immunity performance.</w:t>
      </w:r>
      <w:r w:rsidR="00EC4350">
        <w:rPr>
          <w:rStyle w:val="FootnoteReference"/>
        </w:rPr>
        <w:footnoteReference w:id="5"/>
      </w:r>
    </w:p>
    <w:p w14:paraId="500E5DDF" w14:textId="7372FA86" w:rsidR="00EC4350" w:rsidRDefault="00EC4350" w:rsidP="005619D6">
      <w:pPr>
        <w:pStyle w:val="BodyDoubleSpIndent"/>
      </w:pPr>
      <w:r>
        <w:t>There is broad consensus that arrangements need to be band(edge) specific. Many commenters mention and support multi-stakeholder processes, including in the development of interference limits or harm claim thresholds.</w:t>
      </w:r>
      <w:bookmarkStart w:id="7" w:name="_Ref108894290"/>
      <w:r>
        <w:rPr>
          <w:rStyle w:val="FootnoteReference"/>
        </w:rPr>
        <w:footnoteReference w:id="6"/>
      </w:r>
      <w:bookmarkEnd w:id="7"/>
    </w:p>
    <w:p w14:paraId="45C4E4EE" w14:textId="0BA8C8A4" w:rsidR="008A6905" w:rsidRDefault="003114AC" w:rsidP="0076641D">
      <w:pPr>
        <w:pStyle w:val="BodyDoubleSpIndent"/>
      </w:pPr>
      <w:r>
        <w:t>“</w:t>
      </w:r>
      <w:r w:rsidR="00EC4350">
        <w:t xml:space="preserve">One size </w:t>
      </w:r>
      <w:proofErr w:type="gramStart"/>
      <w:r w:rsidR="00EC4350">
        <w:t>fits</w:t>
      </w:r>
      <w:proofErr w:type="gramEnd"/>
      <w:r w:rsidR="00EC4350">
        <w:t xml:space="preserve"> all</w:t>
      </w:r>
      <w:r>
        <w:t>”</w:t>
      </w:r>
      <w:r w:rsidR="00EC4350">
        <w:t xml:space="preserve"> is </w:t>
      </w:r>
      <w:r w:rsidR="00790465">
        <w:t>widely</w:t>
      </w:r>
      <w:r w:rsidR="000F3152">
        <w:t xml:space="preserve"> rejected, and rightly so</w:t>
      </w:r>
      <w:r w:rsidR="00EC4350">
        <w:t>.</w:t>
      </w:r>
      <w:r w:rsidR="00EC4350">
        <w:rPr>
          <w:rStyle w:val="FootnoteReference"/>
        </w:rPr>
        <w:footnoteReference w:id="7"/>
      </w:r>
      <w:r w:rsidR="00EC4350">
        <w:t xml:space="preserve"> </w:t>
      </w:r>
      <w:r w:rsidR="000F3152">
        <w:t>T</w:t>
      </w:r>
      <w:r w:rsidR="00C14D97">
        <w:t xml:space="preserve">here will never be </w:t>
      </w:r>
      <w:r w:rsidR="00EC4350">
        <w:t xml:space="preserve">a universal </w:t>
      </w:r>
      <w:r w:rsidR="00C14D97">
        <w:t>interference limit</w:t>
      </w:r>
      <w:r w:rsidR="00EC4350">
        <w:t xml:space="preserve">, let alone HCT, for all bands. However, all the systems in a band, including ones operating under different radio services and using different receivers, </w:t>
      </w:r>
      <w:r w:rsidR="00AA1174">
        <w:t xml:space="preserve">operate </w:t>
      </w:r>
      <w:r w:rsidR="00EC4350">
        <w:t>in the same RF environment.</w:t>
      </w:r>
      <w:r w:rsidR="00AA1174">
        <w:t xml:space="preserve"> </w:t>
      </w:r>
      <w:r w:rsidR="00E03D92">
        <w:t>I</w:t>
      </w:r>
      <w:r w:rsidR="00AA1174">
        <w:t xml:space="preserve">t is </w:t>
      </w:r>
      <w:r w:rsidR="00E03D92">
        <w:t xml:space="preserve">therefore </w:t>
      </w:r>
      <w:r w:rsidR="00AA1174">
        <w:t xml:space="preserve">reasonable to have a single </w:t>
      </w:r>
      <w:r w:rsidR="00EC4350">
        <w:t>interference limit defined over a band, in the same way that</w:t>
      </w:r>
      <w:r w:rsidR="00C6372B">
        <w:t xml:space="preserve"> a</w:t>
      </w:r>
      <w:r w:rsidR="00EC4350">
        <w:t xml:space="preserve"> </w:t>
      </w:r>
      <w:r w:rsidR="00637FCD">
        <w:t>single</w:t>
      </w:r>
      <w:r w:rsidR="00B80471">
        <w:t>,</w:t>
      </w:r>
      <w:r w:rsidR="00AA1174">
        <w:t xml:space="preserve"> uniform out-of-band emission (</w:t>
      </w:r>
      <w:r w:rsidR="00EC4350">
        <w:t>OOBE</w:t>
      </w:r>
      <w:r w:rsidR="00AA1174">
        <w:t>)</w:t>
      </w:r>
      <w:r w:rsidR="00EC4350">
        <w:t xml:space="preserve"> limit for transmitters take</w:t>
      </w:r>
      <w:r w:rsidR="00637FCD">
        <w:t>s</w:t>
      </w:r>
      <w:r w:rsidR="00EC4350">
        <w:t xml:space="preserve"> into account the vulnerabilities of </w:t>
      </w:r>
      <w:r w:rsidR="00AA1174">
        <w:t xml:space="preserve">all </w:t>
      </w:r>
      <w:r w:rsidR="00EC4350">
        <w:t>receivers in adjacent bands.</w:t>
      </w:r>
      <w:r w:rsidR="00EC4350">
        <w:rPr>
          <w:rStyle w:val="FootnoteReference"/>
        </w:rPr>
        <w:footnoteReference w:id="8"/>
      </w:r>
      <w:r w:rsidR="00EC4350">
        <w:t xml:space="preserve"> </w:t>
      </w:r>
      <w:r w:rsidR="0029085C">
        <w:t xml:space="preserve">While </w:t>
      </w:r>
      <w:r w:rsidR="008A6905">
        <w:t xml:space="preserve">different </w:t>
      </w:r>
      <w:r w:rsidR="002D2334">
        <w:t xml:space="preserve">radio </w:t>
      </w:r>
      <w:r w:rsidR="008A6905">
        <w:t>service</w:t>
      </w:r>
      <w:r w:rsidR="002D2334">
        <w:t xml:space="preserve"> type</w:t>
      </w:r>
      <w:r w:rsidR="008A6905">
        <w:t xml:space="preserve">s </w:t>
      </w:r>
      <w:r w:rsidR="00E43AD8">
        <w:t xml:space="preserve">may </w:t>
      </w:r>
      <w:r w:rsidR="008A6905">
        <w:t>have different susceptibilit</w:t>
      </w:r>
      <w:r w:rsidR="00637FCD">
        <w:t>ies</w:t>
      </w:r>
      <w:r w:rsidR="008A6905">
        <w:t xml:space="preserve"> to </w:t>
      </w:r>
      <w:r w:rsidR="00637FCD">
        <w:t>interfer</w:t>
      </w:r>
      <w:r w:rsidR="00E43AD8">
        <w:t>ence</w:t>
      </w:r>
      <w:r w:rsidR="0029085C">
        <w:t>, o</w:t>
      </w:r>
      <w:r w:rsidR="00CC47D9">
        <w:t>ne of them—the most vulnerable—</w:t>
      </w:r>
      <w:r w:rsidR="008A6905">
        <w:t>will be the binding constraint on setting an interference limit.</w:t>
      </w:r>
      <w:r w:rsidR="008A6905">
        <w:rPr>
          <w:rStyle w:val="FootnoteReference"/>
        </w:rPr>
        <w:footnoteReference w:id="9"/>
      </w:r>
      <w:r w:rsidR="0076641D">
        <w:t xml:space="preserve"> We </w:t>
      </w:r>
      <w:r w:rsidR="00C37EDD">
        <w:t>do not</w:t>
      </w:r>
      <w:r w:rsidR="0076641D">
        <w:t xml:space="preserve"> all wear </w:t>
      </w:r>
      <w:r w:rsidR="0076641D">
        <w:lastRenderedPageBreak/>
        <w:t>same</w:t>
      </w:r>
      <w:r w:rsidR="00767E4B">
        <w:t>-</w:t>
      </w:r>
      <w:r w:rsidR="0076641D">
        <w:t xml:space="preserve">size clothes, and some </w:t>
      </w:r>
      <w:r w:rsidR="008A6905">
        <w:t xml:space="preserve">people feel the cold more than others—but in a particular place, we all live in the same climate. </w:t>
      </w:r>
      <w:r w:rsidR="0076641D">
        <w:t xml:space="preserve">The government </w:t>
      </w:r>
      <w:r w:rsidR="00C37EDD">
        <w:t>does not</w:t>
      </w:r>
      <w:r w:rsidR="0076641D">
        <w:t xml:space="preserve"> tell us what to </w:t>
      </w:r>
      <w:r w:rsidR="00FE11B9">
        <w:t>wear but</w:t>
      </w:r>
      <w:r w:rsidR="0076641D">
        <w:t xml:space="preserve"> </w:t>
      </w:r>
      <w:r w:rsidR="00BE787C">
        <w:t xml:space="preserve">does </w:t>
      </w:r>
      <w:r w:rsidR="0076641D">
        <w:t xml:space="preserve">help us understand the weather. </w:t>
      </w:r>
      <w:r w:rsidR="008A6905">
        <w:t>Thus, a single interference limit for a given band (</w:t>
      </w:r>
      <w:r w:rsidR="00200B2C">
        <w:t xml:space="preserve">i.e., </w:t>
      </w:r>
      <w:r w:rsidR="008A6905">
        <w:t>its RF climate) is not only desirable and necessary but practicable.</w:t>
      </w:r>
    </w:p>
    <w:p w14:paraId="2D8F5BAC" w14:textId="5A81E966" w:rsidR="008A6905" w:rsidRPr="00A63583" w:rsidRDefault="008A6905" w:rsidP="00E91AF9">
      <w:pPr>
        <w:pStyle w:val="Heading2"/>
      </w:pPr>
      <w:bookmarkStart w:id="9" w:name="_Ref108977319"/>
      <w:bookmarkStart w:id="10" w:name="_Toc109725051"/>
      <w:r w:rsidRPr="00A63583">
        <w:t xml:space="preserve">There is </w:t>
      </w:r>
      <w:r w:rsidR="000C3461">
        <w:t>solid</w:t>
      </w:r>
      <w:r w:rsidRPr="00A63583">
        <w:t xml:space="preserve"> support for further exploration of interference limits </w:t>
      </w:r>
      <w:r w:rsidR="0024365F">
        <w:t>policy</w:t>
      </w:r>
      <w:r w:rsidRPr="00A63583">
        <w:t xml:space="preserve">, </w:t>
      </w:r>
      <w:r w:rsidR="007F3571">
        <w:t xml:space="preserve">sometimes with </w:t>
      </w:r>
      <w:bookmarkEnd w:id="9"/>
      <w:r w:rsidR="007F3571">
        <w:t>reservations</w:t>
      </w:r>
      <w:bookmarkEnd w:id="10"/>
    </w:p>
    <w:p w14:paraId="6FBCADD2" w14:textId="15945304" w:rsidR="008A6905" w:rsidRDefault="0078186C" w:rsidP="00EA3995">
      <w:pPr>
        <w:pStyle w:val="BodyDoubleSpIndent"/>
      </w:pPr>
      <w:r>
        <w:t>There is support</w:t>
      </w:r>
      <w:r w:rsidR="00805CCB">
        <w:t>, some of it qualified,</w:t>
      </w:r>
      <w:r>
        <w:t xml:space="preserve"> </w:t>
      </w:r>
      <w:r w:rsidR="00BB505E">
        <w:t xml:space="preserve">for the interference limit/HCT approach </w:t>
      </w:r>
      <w:r>
        <w:t xml:space="preserve">from a wide range of stakeholders, including </w:t>
      </w:r>
      <w:r w:rsidR="00BB505E">
        <w:t>industry</w:t>
      </w:r>
      <w:r w:rsidR="00932283">
        <w:t xml:space="preserve"> (both operators and manufacturers)</w:t>
      </w:r>
      <w:r w:rsidR="00BB505E">
        <w:t xml:space="preserve">, </w:t>
      </w:r>
      <w:r>
        <w:t xml:space="preserve">academics, </w:t>
      </w:r>
      <w:r w:rsidR="00957700">
        <w:t xml:space="preserve">and </w:t>
      </w:r>
      <w:r>
        <w:t>trade associations</w:t>
      </w:r>
      <w:r w:rsidR="00957700">
        <w:t>.</w:t>
      </w:r>
      <w:r w:rsidR="008A6905">
        <w:rPr>
          <w:rStyle w:val="FootnoteReference"/>
        </w:rPr>
        <w:footnoteReference w:id="10"/>
      </w:r>
      <w:r w:rsidR="0021296D">
        <w:t xml:space="preserve"> </w:t>
      </w:r>
      <w:r w:rsidR="00FE4E10">
        <w:t>T</w:t>
      </w:r>
      <w:r w:rsidR="00FA7900">
        <w:t xml:space="preserve">he Commission </w:t>
      </w:r>
      <w:r w:rsidR="00FE4E10">
        <w:t xml:space="preserve">should </w:t>
      </w:r>
      <w:r w:rsidR="00FA7900">
        <w:t>act on this support by pilot</w:t>
      </w:r>
      <w:r w:rsidR="00FE4E10">
        <w:t>ing</w:t>
      </w:r>
      <w:r w:rsidR="00FA7900">
        <w:t xml:space="preserve"> interference limits in a limited-scope reallocation or rule change</w:t>
      </w:r>
      <w:r w:rsidR="00FE4E10">
        <w:t xml:space="preserve"> (</w:t>
      </w:r>
      <w:r w:rsidR="001A5D0C">
        <w:t xml:space="preserve">see </w:t>
      </w:r>
      <w:r w:rsidR="00D44674">
        <w:t>sub</w:t>
      </w:r>
      <w:r w:rsidR="001A5D0C">
        <w:t>s</w:t>
      </w:r>
      <w:r w:rsidR="00FE4E10">
        <w:t xml:space="preserve">ection </w:t>
      </w:r>
      <w:r w:rsidR="00FE4E10">
        <w:fldChar w:fldCharType="begin"/>
      </w:r>
      <w:r w:rsidR="00FE4E10">
        <w:instrText xml:space="preserve"> REF _Ref109465045 \w \p \h </w:instrText>
      </w:r>
      <w:r w:rsidR="00FE4E10">
        <w:fldChar w:fldCharType="separate"/>
      </w:r>
      <w:r w:rsidR="00373007">
        <w:t>VII.B below</w:t>
      </w:r>
      <w:r w:rsidR="00FE4E10">
        <w:fldChar w:fldCharType="end"/>
      </w:r>
      <w:r w:rsidR="001A5D0C">
        <w:t>,</w:t>
      </w:r>
      <w:r w:rsidR="00FE4E10">
        <w:t xml:space="preserve"> p. </w:t>
      </w:r>
      <w:r w:rsidR="00FE4E10">
        <w:fldChar w:fldCharType="begin"/>
      </w:r>
      <w:r w:rsidR="00FE4E10">
        <w:instrText xml:space="preserve"> PAGEREF _Ref109465045 \h </w:instrText>
      </w:r>
      <w:r w:rsidR="00FE4E10">
        <w:fldChar w:fldCharType="separate"/>
      </w:r>
      <w:r w:rsidR="00373007">
        <w:rPr>
          <w:noProof/>
        </w:rPr>
        <w:t>16</w:t>
      </w:r>
      <w:r w:rsidR="00FE4E10">
        <w:fldChar w:fldCharType="end"/>
      </w:r>
      <w:r w:rsidR="00FE4E10">
        <w:t>)</w:t>
      </w:r>
      <w:r w:rsidR="001A5D0C">
        <w:t>.</w:t>
      </w:r>
    </w:p>
    <w:p w14:paraId="6C6E7B29" w14:textId="2E450F14" w:rsidR="00F95F2A" w:rsidRPr="00F95F2A" w:rsidRDefault="00F95F2A" w:rsidP="00F95F2A">
      <w:pPr>
        <w:pStyle w:val="BodyDoubleSpIndent"/>
      </w:pPr>
      <w:r w:rsidRPr="00F95F2A">
        <w:lastRenderedPageBreak/>
        <w:t xml:space="preserve">Several commenters recognize the importance of making </w:t>
      </w:r>
      <w:r w:rsidR="008D619C">
        <w:t xml:space="preserve">explicit </w:t>
      </w:r>
      <w:r w:rsidRPr="00F95F2A">
        <w:t>the costs of interference immunity.</w:t>
      </w:r>
      <w:r w:rsidR="001076A0">
        <w:rPr>
          <w:rStyle w:val="FootnoteReference"/>
        </w:rPr>
        <w:footnoteReference w:id="11"/>
      </w:r>
      <w:r w:rsidRPr="00F95F2A">
        <w:t xml:space="preserve"> Interference limits and HCTs are an observable, objective, neutral coupling between </w:t>
      </w:r>
      <w:r w:rsidR="001E6EA6">
        <w:t xml:space="preserve">the concerns of </w:t>
      </w:r>
      <w:r w:rsidRPr="00F95F2A">
        <w:t>receiving system</w:t>
      </w:r>
      <w:r w:rsidR="001E6EA6">
        <w:t>s</w:t>
      </w:r>
      <w:r w:rsidRPr="00F95F2A">
        <w:t xml:space="preserve"> and transmitting system</w:t>
      </w:r>
      <w:r w:rsidR="001E6EA6">
        <w:t>s</w:t>
      </w:r>
      <w:r w:rsidRPr="00F95F2A">
        <w:t xml:space="preserve"> that will facilitate negotiations about who bears such costs. The Commission</w:t>
      </w:r>
      <w:r w:rsidR="003114AC">
        <w:t>’</w:t>
      </w:r>
      <w:r w:rsidRPr="00F95F2A">
        <w:t>s determination of the trade-off may not be optimal, or the trade-off point may change after rules are written. HCTs enable parties to adjust it.</w:t>
      </w:r>
      <w:r w:rsidR="001043F2">
        <w:rPr>
          <w:rStyle w:val="FootnoteReference"/>
        </w:rPr>
        <w:footnoteReference w:id="12"/>
      </w:r>
    </w:p>
    <w:p w14:paraId="3E4A94B3" w14:textId="48327D90" w:rsidR="00F95F2A" w:rsidRPr="00F95F2A" w:rsidRDefault="00192D5C" w:rsidP="00F95F2A">
      <w:pPr>
        <w:pStyle w:val="BodyDoubleSpIndent"/>
      </w:pPr>
      <w:r>
        <w:t xml:space="preserve">While </w:t>
      </w:r>
      <w:r w:rsidR="006F1667">
        <w:t>HCT adjustments would occur after rulemaking</w:t>
      </w:r>
      <w:r w:rsidR="00554941">
        <w:t>, a</w:t>
      </w:r>
      <w:r w:rsidR="00F95F2A" w:rsidRPr="00F95F2A">
        <w:t xml:space="preserve">n interference limit can facilitate bargaining before and during rulemaking since it is a simple </w:t>
      </w:r>
      <w:r w:rsidR="00AC2709">
        <w:t xml:space="preserve">but quantitative </w:t>
      </w:r>
      <w:r w:rsidR="00F95F2A" w:rsidRPr="00F95F2A">
        <w:t xml:space="preserve">metric that (1) </w:t>
      </w:r>
      <w:r w:rsidR="00AC2709">
        <w:t>represents</w:t>
      </w:r>
      <w:r w:rsidR="00F95F2A" w:rsidRPr="00F95F2A">
        <w:t xml:space="preserve"> the RF environment that is expected to result from transmitter technical rules, and (2) can be used to assess the overall effects of a new allocation on receiving systems. </w:t>
      </w:r>
      <w:r w:rsidR="008D619C">
        <w:t>It</w:t>
      </w:r>
      <w:r w:rsidR="00F95F2A" w:rsidRPr="00F95F2A">
        <w:t xml:space="preserve"> is a meeting point half-way across the long </w:t>
      </w:r>
      <w:bookmarkStart w:id="11" w:name="span"/>
      <w:r w:rsidR="00F95F2A" w:rsidRPr="00F95F2A">
        <w:t>span of assumptions</w:t>
      </w:r>
      <w:bookmarkEnd w:id="11"/>
      <w:r w:rsidR="00F95F2A" w:rsidRPr="00F95F2A">
        <w:t xml:space="preserve"> that bridges from the radiated power of a single transmitter to the interference immunity of a single receiver</w:t>
      </w:r>
      <w:r w:rsidR="00BD1199">
        <w:t xml:space="preserve">: </w:t>
      </w:r>
      <w:r w:rsidR="00BD1199" w:rsidRPr="005C1C62">
        <w:t xml:space="preserve">actual </w:t>
      </w:r>
      <w:r w:rsidR="00BD1199">
        <w:t>transmit</w:t>
      </w:r>
      <w:r w:rsidR="00BD1199" w:rsidRPr="005C1C62">
        <w:t xml:space="preserve"> power, </w:t>
      </w:r>
      <w:r w:rsidR="00BD1199">
        <w:t>transmitter</w:t>
      </w:r>
      <w:r w:rsidR="00BD1199" w:rsidRPr="005C1C62">
        <w:t xml:space="preserve"> antenna gain, </w:t>
      </w:r>
      <w:r w:rsidR="00BD1199">
        <w:t>transmitter</w:t>
      </w:r>
      <w:r w:rsidR="00BD1199" w:rsidRPr="005C1C62">
        <w:t xml:space="preserve"> deployment</w:t>
      </w:r>
      <w:r w:rsidR="00BD1199">
        <w:t xml:space="preserve"> pattern</w:t>
      </w:r>
      <w:r w:rsidR="00BD1199" w:rsidRPr="005C1C62">
        <w:t xml:space="preserve">, </w:t>
      </w:r>
      <w:r w:rsidR="00BD1199">
        <w:t xml:space="preserve">receiver </w:t>
      </w:r>
      <w:r w:rsidR="00BD1199" w:rsidRPr="005C1C62">
        <w:t xml:space="preserve">deployment and thus path length from </w:t>
      </w:r>
      <w:r w:rsidR="00BD1199">
        <w:t>undesired transmitter</w:t>
      </w:r>
      <w:r w:rsidR="00BD1199" w:rsidRPr="005C1C62">
        <w:t xml:space="preserve"> to </w:t>
      </w:r>
      <w:r w:rsidR="00BD1199">
        <w:t>the receiver</w:t>
      </w:r>
      <w:r w:rsidR="00BD1199" w:rsidRPr="005C1C62">
        <w:t>, path loss</w:t>
      </w:r>
      <w:r w:rsidR="00BD1199">
        <w:t xml:space="preserve"> assumptions</w:t>
      </w:r>
      <w:r w:rsidR="00BD1199" w:rsidRPr="005C1C62">
        <w:t xml:space="preserve">, </w:t>
      </w:r>
      <w:r w:rsidR="00BD1199">
        <w:t>receiver</w:t>
      </w:r>
      <w:r w:rsidR="00BD1199" w:rsidRPr="005C1C62">
        <w:t xml:space="preserve"> antenna—not to mention the deployment </w:t>
      </w:r>
      <w:r w:rsidR="00BD1199">
        <w:t xml:space="preserve">of transmitters in </w:t>
      </w:r>
      <w:r w:rsidR="001E6EA6">
        <w:t>a</w:t>
      </w:r>
      <w:r w:rsidR="00BD1199">
        <w:t xml:space="preserve"> receiver</w:t>
      </w:r>
      <w:r w:rsidR="003114AC">
        <w:t>’</w:t>
      </w:r>
      <w:r w:rsidR="00BD1199">
        <w:t xml:space="preserve">s own system </w:t>
      </w:r>
      <w:r w:rsidR="00BD1199" w:rsidRPr="005C1C62">
        <w:t xml:space="preserve">and thus </w:t>
      </w:r>
      <w:r w:rsidR="00895300">
        <w:t xml:space="preserve">the </w:t>
      </w:r>
      <w:r w:rsidR="00BD1199">
        <w:t xml:space="preserve">desired/undesired signal </w:t>
      </w:r>
      <w:r w:rsidR="00BD1199" w:rsidRPr="005C1C62">
        <w:t>ratio</w:t>
      </w:r>
      <w:r w:rsidR="00BD1199">
        <w:t xml:space="preserve"> at </w:t>
      </w:r>
      <w:r w:rsidR="00895300">
        <w:t>that</w:t>
      </w:r>
      <w:r w:rsidR="00BD1199">
        <w:t xml:space="preserve"> receiver</w:t>
      </w:r>
      <w:r w:rsidR="00F95F2A" w:rsidRPr="00F95F2A">
        <w:t xml:space="preserve">. </w:t>
      </w:r>
    </w:p>
    <w:p w14:paraId="34655769" w14:textId="50599311" w:rsidR="008A6905" w:rsidRDefault="008A6905" w:rsidP="00E91AF9">
      <w:pPr>
        <w:pStyle w:val="BodyDoubleSpIndent"/>
      </w:pPr>
      <w:r>
        <w:lastRenderedPageBreak/>
        <w:t xml:space="preserve">Some commenters express reservations, concerns, qualifications, and outright criticism of the </w:t>
      </w:r>
      <w:r w:rsidR="008A40D2">
        <w:t>interference limit/HCT</w:t>
      </w:r>
      <w:r>
        <w:t xml:space="preserve"> approach. </w:t>
      </w:r>
      <w:r w:rsidR="00136257">
        <w:t>I am grateful that they took the</w:t>
      </w:r>
      <w:r w:rsidR="00E846CF">
        <w:t>se</w:t>
      </w:r>
      <w:r w:rsidR="00136257">
        <w:t xml:space="preserve"> proposals seriously </w:t>
      </w:r>
      <w:r w:rsidR="00034AB1">
        <w:t xml:space="preserve">enough to </w:t>
      </w:r>
      <w:r w:rsidR="00136257">
        <w:t xml:space="preserve">contribute such thoughtful responses to the record. </w:t>
      </w:r>
      <w:r w:rsidR="00034AB1">
        <w:t>All the</w:t>
      </w:r>
      <w:r w:rsidR="002A0A45">
        <w:t>ir</w:t>
      </w:r>
      <w:r w:rsidR="00034AB1">
        <w:t xml:space="preserve"> comments </w:t>
      </w:r>
      <w:r w:rsidR="00895300">
        <w:t>are</w:t>
      </w:r>
      <w:r w:rsidR="00390DA7">
        <w:t xml:space="preserve"> </w:t>
      </w:r>
      <w:r>
        <w:t>important</w:t>
      </w:r>
      <w:r w:rsidR="00895300">
        <w:t xml:space="preserve">. </w:t>
      </w:r>
      <w:r w:rsidR="004B1D08">
        <w:t xml:space="preserve">I will tackle </w:t>
      </w:r>
      <w:r w:rsidR="00E846CF">
        <w:t>a few key ones</w:t>
      </w:r>
      <w:r w:rsidR="004B1D08">
        <w:t xml:space="preserve"> below</w:t>
      </w:r>
      <w:r>
        <w:t xml:space="preserve">. </w:t>
      </w:r>
    </w:p>
    <w:p w14:paraId="48B21860" w14:textId="4FF0E29F" w:rsidR="00811C2F" w:rsidRDefault="00E846CF" w:rsidP="00E846CF">
      <w:pPr>
        <w:pStyle w:val="BodyDoubleSpIndent"/>
      </w:pPr>
      <w:bookmarkStart w:id="12" w:name="_Ref108866299"/>
      <w:r>
        <w:t xml:space="preserve">To distinguish </w:t>
      </w:r>
      <w:r w:rsidR="0042382E">
        <w:t>concerns,</w:t>
      </w:r>
      <w:r>
        <w:t xml:space="preserve"> it is useful to separate two contexts where the RF environment approach could be used by the Commission</w:t>
      </w:r>
      <w:bookmarkStart w:id="13" w:name="_Hlk108875588"/>
      <w:r w:rsidR="00811C2F">
        <w:t>:</w:t>
      </w:r>
      <w:r w:rsidR="00811C2F">
        <w:rPr>
          <w:rStyle w:val="FootnoteReference"/>
        </w:rPr>
        <w:footnoteReference w:id="13"/>
      </w:r>
    </w:p>
    <w:p w14:paraId="735DF5E9" w14:textId="2890078A" w:rsidR="00811C2F" w:rsidRDefault="00811C2F" w:rsidP="00811C2F">
      <w:pPr>
        <w:pStyle w:val="ListNumbDoubleSp"/>
      </w:pPr>
      <w:r>
        <w:t>In non-binding ways to communicate expectations and balance the interests of competing parties</w:t>
      </w:r>
      <w:r w:rsidR="00763CC0">
        <w:t>,</w:t>
      </w:r>
      <w:r>
        <w:t xml:space="preserve"> for example</w:t>
      </w:r>
      <w:r w:rsidR="00763CC0">
        <w:t>,</w:t>
      </w:r>
      <w:r>
        <w:t xml:space="preserve"> in policy statements and during the rulemaking process (</w:t>
      </w:r>
      <w:r w:rsidR="003114AC">
        <w:t>“</w:t>
      </w:r>
      <w:r>
        <w:t>guidance</w:t>
      </w:r>
      <w:r w:rsidR="003114AC">
        <w:t>”</w:t>
      </w:r>
      <w:r>
        <w:t xml:space="preserve"> mode). </w:t>
      </w:r>
    </w:p>
    <w:p w14:paraId="76AFE015" w14:textId="5DCB9CC4" w:rsidR="00811C2F" w:rsidRDefault="00811C2F" w:rsidP="00811C2F">
      <w:pPr>
        <w:pStyle w:val="ListNumbDoubleSp"/>
      </w:pPr>
      <w:r>
        <w:t>In binding ways that define rights and responsibilities</w:t>
      </w:r>
      <w:r w:rsidR="0008441F">
        <w:t>,</w:t>
      </w:r>
      <w:r>
        <w:t xml:space="preserve"> for example</w:t>
      </w:r>
      <w:r w:rsidR="0008441F">
        <w:t>,</w:t>
      </w:r>
      <w:r>
        <w:t xml:space="preserve"> in regulation (</w:t>
      </w:r>
      <w:r w:rsidR="003114AC">
        <w:t>“</w:t>
      </w:r>
      <w:r>
        <w:t>rules</w:t>
      </w:r>
      <w:r w:rsidR="003114AC">
        <w:t>”</w:t>
      </w:r>
      <w:r>
        <w:t xml:space="preserve"> mode).</w:t>
      </w:r>
    </w:p>
    <w:p w14:paraId="543469F5" w14:textId="4B99678E" w:rsidR="00811C2F" w:rsidRDefault="00811C2F" w:rsidP="00811C2F">
      <w:pPr>
        <w:pStyle w:val="BodyDoubleSpIndent"/>
      </w:pPr>
      <w:r>
        <w:t>My us</w:t>
      </w:r>
      <w:r w:rsidR="005E04C7">
        <w:t>e</w:t>
      </w:r>
      <w:r>
        <w:t xml:space="preserve"> of the </w:t>
      </w:r>
      <w:proofErr w:type="gramStart"/>
      <w:r>
        <w:t>terms</w:t>
      </w:r>
      <w:proofErr w:type="gramEnd"/>
      <w:r>
        <w:t xml:space="preserve"> interference limits and HCTs aligns with these two categories and with the TAC</w:t>
      </w:r>
      <w:r w:rsidR="003114AC">
        <w:t>’</w:t>
      </w:r>
      <w:r>
        <w:t>s definitions: interference limits are non-binding guidance and HCTs are binding rules.</w:t>
      </w:r>
      <w:r>
        <w:rPr>
          <w:rStyle w:val="FootnoteReference"/>
        </w:rPr>
        <w:footnoteReference w:id="14"/>
      </w:r>
    </w:p>
    <w:p w14:paraId="42A91130" w14:textId="7E4D531A" w:rsidR="008A6905" w:rsidRDefault="008A6905" w:rsidP="00573F96">
      <w:pPr>
        <w:pStyle w:val="Heading2"/>
      </w:pPr>
      <w:bookmarkStart w:id="14" w:name="_Ref109055008"/>
      <w:bookmarkStart w:id="15" w:name="_Ref109122429"/>
      <w:bookmarkStart w:id="16" w:name="_Toc109725052"/>
      <w:bookmarkEnd w:id="13"/>
      <w:r>
        <w:t>Don</w:t>
      </w:r>
      <w:r w:rsidR="003114AC">
        <w:t>’</w:t>
      </w:r>
      <w:r>
        <w:t xml:space="preserve">t shoot the messenger: Many reservations and fears about the </w:t>
      </w:r>
      <w:r w:rsidR="00EA07D3">
        <w:t>interference limit</w:t>
      </w:r>
      <w:r>
        <w:t>/HCT approach apply to Commission rulemaking generally</w:t>
      </w:r>
      <w:bookmarkEnd w:id="12"/>
      <w:bookmarkEnd w:id="14"/>
      <w:bookmarkEnd w:id="15"/>
      <w:bookmarkEnd w:id="16"/>
    </w:p>
    <w:p w14:paraId="6B0524DE" w14:textId="176BCA66" w:rsidR="008A6905" w:rsidRDefault="008A6905" w:rsidP="00573F96">
      <w:pPr>
        <w:pStyle w:val="BodyDoubleSpIndent"/>
      </w:pPr>
      <w:r>
        <w:t xml:space="preserve">Many of the concerns about the </w:t>
      </w:r>
      <w:r w:rsidR="00FE5641">
        <w:t>interference limit</w:t>
      </w:r>
      <w:r>
        <w:t xml:space="preserve">/HCT approach seem to be projecting fears and dissatisfactions with </w:t>
      </w:r>
      <w:r w:rsidR="00310148">
        <w:t>current</w:t>
      </w:r>
      <w:r>
        <w:t xml:space="preserve"> spectrum policy</w:t>
      </w:r>
      <w:r w:rsidR="002B41A3">
        <w:t>making</w:t>
      </w:r>
      <w:r>
        <w:t xml:space="preserve"> onto this method. </w:t>
      </w:r>
      <w:r w:rsidR="00246C44">
        <w:t xml:space="preserve">While </w:t>
      </w:r>
      <w:r>
        <w:t xml:space="preserve">I </w:t>
      </w:r>
      <w:r w:rsidR="002F5D36">
        <w:t xml:space="preserve">understand </w:t>
      </w:r>
      <w:r w:rsidR="002F5D36">
        <w:lastRenderedPageBreak/>
        <w:t xml:space="preserve">and </w:t>
      </w:r>
      <w:r>
        <w:t xml:space="preserve">respect these reservations, </w:t>
      </w:r>
      <w:r w:rsidR="002F5D36">
        <w:t>the</w:t>
      </w:r>
      <w:r w:rsidR="00FE5641">
        <w:t xml:space="preserve"> RF environment</w:t>
      </w:r>
      <w:r>
        <w:t xml:space="preserve"> approach will be </w:t>
      </w:r>
      <w:r w:rsidR="000B0EE4">
        <w:t xml:space="preserve">no </w:t>
      </w:r>
      <w:r>
        <w:t xml:space="preserve">worse than </w:t>
      </w:r>
      <w:r w:rsidR="002F5D36">
        <w:t>the current</w:t>
      </w:r>
      <w:r>
        <w:t xml:space="preserve"> </w:t>
      </w:r>
      <w:r w:rsidR="00FE5641">
        <w:t xml:space="preserve">equipment-oriented </w:t>
      </w:r>
      <w:r w:rsidR="002F5D36">
        <w:t>approach</w:t>
      </w:r>
      <w:r>
        <w:t>. It is important to separate institutional and technical problems inherent in spectrum policymaking</w:t>
      </w:r>
      <w:r w:rsidR="00246C44">
        <w:t xml:space="preserve"> from </w:t>
      </w:r>
      <w:r w:rsidR="006E6DB0">
        <w:t xml:space="preserve">their </w:t>
      </w:r>
      <w:r w:rsidR="008F7181">
        <w:t>recurrence</w:t>
      </w:r>
      <w:r w:rsidR="00590837">
        <w:t xml:space="preserve"> </w:t>
      </w:r>
      <w:r w:rsidR="006E6DB0">
        <w:t xml:space="preserve">in </w:t>
      </w:r>
      <w:r>
        <w:t>new approaches.</w:t>
      </w:r>
    </w:p>
    <w:p w14:paraId="3F644EF6" w14:textId="7186024E" w:rsidR="008A6905" w:rsidRDefault="008A6905" w:rsidP="00573F96">
      <w:pPr>
        <w:pStyle w:val="Heading3"/>
      </w:pPr>
      <w:bookmarkStart w:id="17" w:name="_Toc109725053"/>
      <w:r>
        <w:t xml:space="preserve">Involving all stakeholders </w:t>
      </w:r>
      <w:r w:rsidR="00FC4552">
        <w:t>may</w:t>
      </w:r>
      <w:r>
        <w:t xml:space="preserve"> be contentious and time consuming</w:t>
      </w:r>
      <w:r w:rsidR="00FC4552">
        <w:t>—it usually is</w:t>
      </w:r>
      <w:bookmarkEnd w:id="17"/>
    </w:p>
    <w:p w14:paraId="61918857" w14:textId="4FFB1DD2" w:rsidR="008A6905" w:rsidRDefault="008A6905" w:rsidP="00743A2D">
      <w:pPr>
        <w:pStyle w:val="BodyDoubleSpIndent"/>
      </w:pPr>
      <w:r>
        <w:t>There is unanimity in the record</w:t>
      </w:r>
      <w:r w:rsidR="002F5D36">
        <w:t>, as one would expect,</w:t>
      </w:r>
      <w:r>
        <w:t xml:space="preserve"> that all stakeholders should be involved in rulemaking that could affect their interests. </w:t>
      </w:r>
      <w:r w:rsidR="002F5D36">
        <w:t>However,</w:t>
      </w:r>
      <w:r w:rsidR="008F7181">
        <w:t xml:space="preserve"> </w:t>
      </w:r>
      <w:r w:rsidR="000E3A90">
        <w:t xml:space="preserve">the participation of many </w:t>
      </w:r>
      <w:r w:rsidR="00FE5641">
        <w:t xml:space="preserve">stakeholders </w:t>
      </w:r>
      <w:r w:rsidR="000E3A90">
        <w:t>can</w:t>
      </w:r>
      <w:r w:rsidR="001503E3">
        <w:t xml:space="preserve"> </w:t>
      </w:r>
      <w:r>
        <w:t>generate contention that can be time consuming</w:t>
      </w:r>
      <w:r w:rsidR="007A28A5">
        <w:t>, and this may also be the case for interference limits</w:t>
      </w:r>
      <w:r w:rsidR="00C9495D">
        <w:t xml:space="preserve"> as it is for current proceedings</w:t>
      </w:r>
      <w:r>
        <w:t>.</w:t>
      </w:r>
      <w:r w:rsidR="001503E3">
        <w:rPr>
          <w:rStyle w:val="FootnoteReference"/>
        </w:rPr>
        <w:footnoteReference w:id="15"/>
      </w:r>
      <w:r>
        <w:t xml:space="preserve"> </w:t>
      </w:r>
      <w:r w:rsidR="001503E3">
        <w:t>T</w:t>
      </w:r>
      <w:r>
        <w:t>he Commission</w:t>
      </w:r>
      <w:r w:rsidR="003114AC">
        <w:t>’</w:t>
      </w:r>
      <w:r w:rsidR="001503E3">
        <w:t>s</w:t>
      </w:r>
      <w:r>
        <w:t xml:space="preserve"> rulemaking</w:t>
      </w:r>
      <w:r w:rsidR="00C61709">
        <w:t>s</w:t>
      </w:r>
      <w:r>
        <w:t xml:space="preserve"> </w:t>
      </w:r>
      <w:r w:rsidR="00BA3757">
        <w:t xml:space="preserve">often </w:t>
      </w:r>
      <w:r>
        <w:t xml:space="preserve">consider </w:t>
      </w:r>
      <w:r w:rsidRPr="001218E3">
        <w:t>numerous adjacent bands</w:t>
      </w:r>
      <w:r w:rsidR="00BA3757">
        <w:t xml:space="preserve"> when </w:t>
      </w:r>
      <w:r>
        <w:t>it decides on reallocations</w:t>
      </w:r>
      <w:r w:rsidR="005F21CA">
        <w:t xml:space="preserve"> or changes conditions</w:t>
      </w:r>
      <w:r w:rsidR="001503E3">
        <w:t xml:space="preserve">, </w:t>
      </w:r>
      <w:r>
        <w:t xml:space="preserve">and </w:t>
      </w:r>
      <w:r w:rsidR="00E94809">
        <w:t xml:space="preserve">it </w:t>
      </w:r>
      <w:r w:rsidR="00BA3757">
        <w:t xml:space="preserve">successfully </w:t>
      </w:r>
      <w:r>
        <w:t>balance</w:t>
      </w:r>
      <w:r w:rsidR="004A7DEB">
        <w:t>s</w:t>
      </w:r>
      <w:r>
        <w:t xml:space="preserve"> competing claims.</w:t>
      </w:r>
      <w:r w:rsidR="009712EC">
        <w:rPr>
          <w:rStyle w:val="FootnoteReference"/>
        </w:rPr>
        <w:footnoteReference w:id="16"/>
      </w:r>
      <w:r>
        <w:t xml:space="preserve"> For example, there is frequently contention about the impact </w:t>
      </w:r>
      <w:r w:rsidR="0076175A">
        <w:t xml:space="preserve">of in-band transmitter power and OOBE limits </w:t>
      </w:r>
      <w:r>
        <w:t xml:space="preserve">on services in adjacent bands. </w:t>
      </w:r>
      <w:r w:rsidR="00167420">
        <w:t xml:space="preserve">In the end, the Commission resolves differences. </w:t>
      </w:r>
      <w:r w:rsidR="00BD780E">
        <w:t xml:space="preserve">The interference limit/HCT approach would not be any more contentious or time consuming than traditional processes. </w:t>
      </w:r>
      <w:r>
        <w:t xml:space="preserve">In fact, using interference limits could make </w:t>
      </w:r>
      <w:r w:rsidR="004A7DEB">
        <w:t xml:space="preserve">developing </w:t>
      </w:r>
      <w:r>
        <w:t xml:space="preserve">rules not only more transparent but </w:t>
      </w:r>
      <w:r w:rsidR="004A7DEB">
        <w:t xml:space="preserve">also </w:t>
      </w:r>
      <w:r>
        <w:t>more efficient by making assumptions explicit</w:t>
      </w:r>
      <w:r w:rsidR="004A7DEB">
        <w:t xml:space="preserve"> and quantitative</w:t>
      </w:r>
      <w:r>
        <w:t>.</w:t>
      </w:r>
      <w:r w:rsidR="004A7DEB">
        <w:t xml:space="preserve"> </w:t>
      </w:r>
    </w:p>
    <w:p w14:paraId="272856FC" w14:textId="429286F7" w:rsidR="008A6905" w:rsidRDefault="008A6905" w:rsidP="00573F96">
      <w:pPr>
        <w:pStyle w:val="Heading3"/>
      </w:pPr>
      <w:bookmarkStart w:id="18" w:name="_Ref108878536"/>
      <w:bookmarkStart w:id="19" w:name="_Toc109725054"/>
      <w:r>
        <w:lastRenderedPageBreak/>
        <w:t xml:space="preserve">Developing interference limits may require </w:t>
      </w:r>
      <w:r w:rsidR="00996AFB">
        <w:t xml:space="preserve">anticipating </w:t>
      </w:r>
      <w:r>
        <w:t>the future interference environment</w:t>
      </w:r>
      <w:r w:rsidR="007A28A5">
        <w:t>—</w:t>
      </w:r>
      <w:r w:rsidR="005C5D6F">
        <w:t xml:space="preserve">just as </w:t>
      </w:r>
      <w:r>
        <w:t>current rulemaking does</w:t>
      </w:r>
      <w:bookmarkEnd w:id="18"/>
      <w:bookmarkEnd w:id="19"/>
    </w:p>
    <w:p w14:paraId="6B713CF7" w14:textId="3297E06C" w:rsidR="006B791B" w:rsidRDefault="007A28A5" w:rsidP="00573F96">
      <w:pPr>
        <w:pStyle w:val="BodyDoubleSpIndent"/>
      </w:pPr>
      <w:r>
        <w:t>I</w:t>
      </w:r>
      <w:r w:rsidR="008A6905">
        <w:t>nterference limits and harm claim thresholds should take expected changes in the RF environment into account, to the extent possible.</w:t>
      </w:r>
      <w:r w:rsidR="008A6905">
        <w:rPr>
          <w:rStyle w:val="FootnoteReference"/>
        </w:rPr>
        <w:footnoteReference w:id="17"/>
      </w:r>
      <w:r w:rsidR="008A6905">
        <w:t xml:space="preserve"> This is done routinely in any reallocation</w:t>
      </w:r>
      <w:r w:rsidR="00FD094A">
        <w:t xml:space="preserve">. </w:t>
      </w:r>
      <w:r w:rsidR="00BE28B2">
        <w:t>In addition, t</w:t>
      </w:r>
      <w:r w:rsidR="00FD094A">
        <w:t xml:space="preserve">echnological progress can </w:t>
      </w:r>
      <w:r w:rsidR="008A6905">
        <w:t xml:space="preserve">change the </w:t>
      </w:r>
      <w:r w:rsidR="00735428">
        <w:t xml:space="preserve">RF </w:t>
      </w:r>
      <w:r w:rsidR="008A6905">
        <w:t xml:space="preserve">environment </w:t>
      </w:r>
      <w:r w:rsidR="00735428">
        <w:t xml:space="preserve">even when </w:t>
      </w:r>
      <w:r w:rsidR="008A6905">
        <w:t>allocations</w:t>
      </w:r>
      <w:r w:rsidR="00735428">
        <w:t xml:space="preserve"> do not change</w:t>
      </w:r>
      <w:r w:rsidR="008A6905">
        <w:t xml:space="preserve">. </w:t>
      </w:r>
      <w:r w:rsidR="00735428">
        <w:t>T</w:t>
      </w:r>
      <w:r w:rsidR="008A6905">
        <w:t xml:space="preserve">he </w:t>
      </w:r>
      <w:r w:rsidR="00C259AE">
        <w:t>interference limit</w:t>
      </w:r>
      <w:r w:rsidR="008A6905">
        <w:t xml:space="preserve">/HCT approach </w:t>
      </w:r>
      <w:r w:rsidR="00735428">
        <w:t xml:space="preserve">does </w:t>
      </w:r>
      <w:r w:rsidR="00994491">
        <w:t xml:space="preserve">not </w:t>
      </w:r>
      <w:r w:rsidR="008A6905">
        <w:t>require any more insight into future interference environments tha</w:t>
      </w:r>
      <w:r w:rsidR="00154FC0">
        <w:t>n</w:t>
      </w:r>
      <w:r w:rsidR="008A6905">
        <w:t xml:space="preserve"> existing approaches do.</w:t>
      </w:r>
      <w:r w:rsidR="008A6905">
        <w:rPr>
          <w:rStyle w:val="FootnoteReference"/>
        </w:rPr>
        <w:footnoteReference w:id="18"/>
      </w:r>
      <w:r w:rsidR="008620D8">
        <w:t xml:space="preserve"> </w:t>
      </w:r>
    </w:p>
    <w:p w14:paraId="2E94A68C" w14:textId="7A5D6440" w:rsidR="008A6905" w:rsidRDefault="008A6905" w:rsidP="00573F96">
      <w:pPr>
        <w:pStyle w:val="BodyDoubleSpIndent"/>
      </w:pPr>
      <w:r>
        <w:t xml:space="preserve">It is possible—and perhaps even likely, given the contentious nature of many proceedings—that using interference limits in policymaking and/or </w:t>
      </w:r>
      <w:r w:rsidR="007A28A5">
        <w:t>HCTs</w:t>
      </w:r>
      <w:r>
        <w:t xml:space="preserve"> in </w:t>
      </w:r>
      <w:r w:rsidR="000D463C">
        <w:t>technical rules</w:t>
      </w:r>
      <w:r>
        <w:t xml:space="preserve"> will lead to outcomes that one party finds disappointing or even </w:t>
      </w:r>
      <w:r w:rsidR="007A28A5">
        <w:t xml:space="preserve">considers </w:t>
      </w:r>
      <w:r>
        <w:t>dangerous.</w:t>
      </w:r>
      <w:r>
        <w:rPr>
          <w:rStyle w:val="FootnoteReference"/>
        </w:rPr>
        <w:footnoteReference w:id="19"/>
      </w:r>
      <w:r>
        <w:t xml:space="preserve"> </w:t>
      </w:r>
      <w:r w:rsidR="00B13FD9">
        <w:t>Losing an argument is part of policy</w:t>
      </w:r>
      <w:r w:rsidR="008D2E0D">
        <w:t>making</w:t>
      </w:r>
      <w:r w:rsidR="006935DB">
        <w:t xml:space="preserve">, not a new </w:t>
      </w:r>
      <w:r>
        <w:t xml:space="preserve">feature of </w:t>
      </w:r>
      <w:r w:rsidR="00C259AE">
        <w:t xml:space="preserve">interference limits or </w:t>
      </w:r>
      <w:r>
        <w:t>HCTs.</w:t>
      </w:r>
    </w:p>
    <w:p w14:paraId="33D98F91" w14:textId="3F0F97EB" w:rsidR="00CA2D45" w:rsidRDefault="00055FA3" w:rsidP="00E77031">
      <w:pPr>
        <w:pStyle w:val="BodyDoubleSpIndent"/>
      </w:pPr>
      <w:r>
        <w:t>If the Commission expect</w:t>
      </w:r>
      <w:r w:rsidR="00B4401C">
        <w:t>s</w:t>
      </w:r>
      <w:r>
        <w:t xml:space="preserve"> the RF environment to change </w:t>
      </w:r>
      <w:r w:rsidR="009A0478">
        <w:t>several times after rulemaking</w:t>
      </w:r>
      <w:r w:rsidR="002F3F5A">
        <w:t xml:space="preserve">, it can quantify </w:t>
      </w:r>
      <w:r w:rsidR="002F2317">
        <w:t xml:space="preserve">this expectation during rulemaking </w:t>
      </w:r>
      <w:r w:rsidR="00B4401C">
        <w:t xml:space="preserve">in a technology-neutral </w:t>
      </w:r>
      <w:r w:rsidR="00994491">
        <w:t xml:space="preserve">way </w:t>
      </w:r>
      <w:r w:rsidR="00E77031">
        <w:t>by using interference limit ratchets</w:t>
      </w:r>
      <w:r w:rsidR="008A6905">
        <w:t>.</w:t>
      </w:r>
      <w:r w:rsidR="008A6905">
        <w:rPr>
          <w:rStyle w:val="FootnoteReference"/>
        </w:rPr>
        <w:footnoteReference w:id="20"/>
      </w:r>
      <w:r w:rsidR="008620D8">
        <w:t xml:space="preserve"> </w:t>
      </w:r>
      <w:r w:rsidR="005D766D">
        <w:t>I</w:t>
      </w:r>
      <w:r w:rsidR="006E383A">
        <w:t>nterference limits</w:t>
      </w:r>
      <w:r w:rsidR="005D766D">
        <w:t xml:space="preserve"> </w:t>
      </w:r>
      <w:r w:rsidR="006E383A">
        <w:t>are unlikely to change</w:t>
      </w:r>
      <w:r w:rsidR="001670B1">
        <w:t xml:space="preserve"> </w:t>
      </w:r>
      <w:r w:rsidR="006E383A">
        <w:t>once the rulemaking is over unless the Commission reopens a proceeding or updates an Order.</w:t>
      </w:r>
    </w:p>
    <w:p w14:paraId="7C11C522" w14:textId="6AA4157F" w:rsidR="008A6905" w:rsidRDefault="003D3CC2" w:rsidP="00E77031">
      <w:pPr>
        <w:pStyle w:val="BodyDoubleSpIndent"/>
      </w:pPr>
      <w:r>
        <w:t xml:space="preserve">On the other hand, </w:t>
      </w:r>
      <w:r w:rsidR="008A6905">
        <w:t xml:space="preserve">HCTs </w:t>
      </w:r>
      <w:r w:rsidR="00705DF6">
        <w:t>might</w:t>
      </w:r>
      <w:r w:rsidR="008A6905">
        <w:t xml:space="preserve"> be updated occasionally, in the same way that other </w:t>
      </w:r>
      <w:r w:rsidR="000D463C">
        <w:t>technical rules</w:t>
      </w:r>
      <w:r w:rsidR="00705DF6">
        <w:t xml:space="preserve"> </w:t>
      </w:r>
      <w:r w:rsidR="005D70DB">
        <w:t>change</w:t>
      </w:r>
      <w:r w:rsidR="008A6905">
        <w:t xml:space="preserve"> to reflect new information. </w:t>
      </w:r>
      <w:r w:rsidR="006E383A">
        <w:t>T</w:t>
      </w:r>
      <w:r w:rsidR="008A6905">
        <w:t xml:space="preserve">hey would </w:t>
      </w:r>
      <w:r w:rsidR="006E383A">
        <w:t xml:space="preserve">not </w:t>
      </w:r>
      <w:r w:rsidR="008A6905">
        <w:t xml:space="preserve">be continually updated, just as </w:t>
      </w:r>
      <w:r w:rsidR="009B393F">
        <w:lastRenderedPageBreak/>
        <w:t>existing</w:t>
      </w:r>
      <w:r w:rsidR="008A6905">
        <w:t xml:space="preserve"> </w:t>
      </w:r>
      <w:r w:rsidR="000D463C">
        <w:t>technical rules</w:t>
      </w:r>
      <w:r w:rsidR="008A6905">
        <w:t xml:space="preserve"> only </w:t>
      </w:r>
      <w:r w:rsidR="00C259AE">
        <w:t xml:space="preserve">change </w:t>
      </w:r>
      <w:r w:rsidR="008A6905">
        <w:t>occasionally.</w:t>
      </w:r>
      <w:r w:rsidR="005D70DB">
        <w:rPr>
          <w:rStyle w:val="FootnoteReference"/>
        </w:rPr>
        <w:footnoteReference w:id="21"/>
      </w:r>
      <w:r w:rsidR="008A6905">
        <w:t xml:space="preserve"> </w:t>
      </w:r>
      <w:bookmarkStart w:id="20" w:name="_Hlk108875494"/>
      <w:r w:rsidR="008A6905">
        <w:t xml:space="preserve">I do not expect that harm claim thresholds would be updated as types of devices change, since—unlike receiver performance requirements—they characterize the overall RF environment and not the characteristics of </w:t>
      </w:r>
      <w:proofErr w:type="gramStart"/>
      <w:r w:rsidR="008A6905">
        <w:t>particular devices</w:t>
      </w:r>
      <w:proofErr w:type="gramEnd"/>
      <w:r w:rsidR="008A6905">
        <w:t>.</w:t>
      </w:r>
      <w:r w:rsidR="007842FB">
        <w:t xml:space="preserve"> </w:t>
      </w:r>
      <w:bookmarkEnd w:id="20"/>
    </w:p>
    <w:p w14:paraId="130FF7B6" w14:textId="109FD71C" w:rsidR="00467273" w:rsidRDefault="00467273" w:rsidP="00DB50E1">
      <w:pPr>
        <w:pStyle w:val="Heading3"/>
      </w:pPr>
      <w:bookmarkStart w:id="21" w:name="_Toc109725055"/>
      <w:r>
        <w:t xml:space="preserve">RF measurements may not be able to identify the responsible party if there are several </w:t>
      </w:r>
      <w:r w:rsidR="000D1CA5">
        <w:t>possibilities</w:t>
      </w:r>
      <w:r>
        <w:t xml:space="preserve">—but this is </w:t>
      </w:r>
      <w:r w:rsidR="00123FAC">
        <w:t>not new</w:t>
      </w:r>
      <w:bookmarkEnd w:id="21"/>
    </w:p>
    <w:p w14:paraId="669EB797" w14:textId="3393E89E" w:rsidR="00467273" w:rsidRDefault="00467273" w:rsidP="00573F96">
      <w:pPr>
        <w:pStyle w:val="BodyDoubleSpIndent"/>
      </w:pPr>
      <w:r>
        <w:t>Shure points out the difficulty of dealing with transient interference.</w:t>
      </w:r>
      <w:r>
        <w:rPr>
          <w:rStyle w:val="FootnoteReference"/>
        </w:rPr>
        <w:footnoteReference w:id="22"/>
      </w:r>
      <w:r>
        <w:t xml:space="preserve"> This is certainly a </w:t>
      </w:r>
      <w:r w:rsidR="001F2B0F">
        <w:t>challenge</w:t>
      </w:r>
      <w:r>
        <w:t xml:space="preserve">, but it is </w:t>
      </w:r>
      <w:r w:rsidR="00CA2D45">
        <w:t>neither</w:t>
      </w:r>
      <w:r>
        <w:t xml:space="preserve"> new</w:t>
      </w:r>
      <w:r w:rsidR="003454EA">
        <w:t xml:space="preserve"> nor unique to the interference limits/HCT approach</w:t>
      </w:r>
      <w:r w:rsidR="00D93BF0">
        <w:t>.</w:t>
      </w:r>
      <w:r w:rsidR="00B44789">
        <w:rPr>
          <w:rStyle w:val="FootnoteReference"/>
        </w:rPr>
        <w:footnoteReference w:id="23"/>
      </w:r>
    </w:p>
    <w:p w14:paraId="042D1BD9" w14:textId="7B8AD824" w:rsidR="00467273" w:rsidRDefault="00467273" w:rsidP="00573F96">
      <w:pPr>
        <w:pStyle w:val="BodyDoubleSpIndent"/>
      </w:pPr>
      <w:r>
        <w:t xml:space="preserve">One of the most difficult problems for </w:t>
      </w:r>
      <w:r w:rsidR="009B393F">
        <w:t>both</w:t>
      </w:r>
      <w:r>
        <w:t xml:space="preserve"> harm claim thresholds</w:t>
      </w:r>
      <w:r w:rsidR="009B393F">
        <w:t xml:space="preserve"> and </w:t>
      </w:r>
      <w:r w:rsidR="00F40A41">
        <w:t>interference resolution</w:t>
      </w:r>
      <w:r>
        <w:t xml:space="preserve"> under current rules</w:t>
      </w:r>
      <w:r w:rsidR="009B393F">
        <w:t xml:space="preserve"> </w:t>
      </w:r>
      <w:r>
        <w:t xml:space="preserve">is identifying the party responsible for </w:t>
      </w:r>
      <w:r w:rsidR="00B34FE7">
        <w:t>harmful interference</w:t>
      </w:r>
      <w:r>
        <w:t xml:space="preserve"> if there are several possibilities.</w:t>
      </w:r>
      <w:r>
        <w:rPr>
          <w:rStyle w:val="FootnoteReference"/>
        </w:rPr>
        <w:footnoteReference w:id="24"/>
      </w:r>
      <w:r>
        <w:t xml:space="preserve"> In the general case</w:t>
      </w:r>
      <w:r w:rsidR="001F2B0F">
        <w:t>,</w:t>
      </w:r>
      <w:r>
        <w:t xml:space="preserve"> as well as for harm claim thresholds</w:t>
      </w:r>
      <w:r w:rsidR="001F2B0F">
        <w:t>,</w:t>
      </w:r>
      <w:r>
        <w:t xml:space="preserve"> one </w:t>
      </w:r>
      <w:r w:rsidR="00B92F79">
        <w:t>could</w:t>
      </w:r>
      <w:r>
        <w:t xml:space="preserve"> </w:t>
      </w:r>
      <w:r>
        <w:lastRenderedPageBreak/>
        <w:t xml:space="preserve">disentangle </w:t>
      </w:r>
      <w:r w:rsidR="003114AC">
        <w:t>“</w:t>
      </w:r>
      <w:r w:rsidRPr="00266395">
        <w:t>cross coupling</w:t>
      </w:r>
      <w:r w:rsidR="003114AC">
        <w:t>”</w:t>
      </w:r>
      <w:r w:rsidRPr="00266395">
        <w:t xml:space="preserve"> between the transmit and receive paths within a radio transceiver</w:t>
      </w:r>
      <w:r>
        <w:t xml:space="preserve"> by using third party measurement equipment.</w:t>
      </w:r>
      <w:r>
        <w:rPr>
          <w:rStyle w:val="FootnoteReference"/>
        </w:rPr>
        <w:footnoteReference w:id="25"/>
      </w:r>
      <w:r>
        <w:t xml:space="preserve"> </w:t>
      </w:r>
      <w:r w:rsidR="003454EA">
        <w:t>On/off testing may also work in some cases.</w:t>
      </w:r>
      <w:r w:rsidR="003454EA">
        <w:rPr>
          <w:rStyle w:val="FootnoteReference"/>
        </w:rPr>
        <w:footnoteReference w:id="26"/>
      </w:r>
    </w:p>
    <w:p w14:paraId="43155DD9" w14:textId="2B50331B" w:rsidR="00687C0A" w:rsidRDefault="00467273" w:rsidP="00573F96">
      <w:pPr>
        <w:pStyle w:val="BodyDoubleSpIndent"/>
      </w:pPr>
      <w:r>
        <w:t>Garmin</w:t>
      </w:r>
      <w:r w:rsidR="003114AC">
        <w:t>’</w:t>
      </w:r>
      <w:r>
        <w:t>s concern</w:t>
      </w:r>
      <w:r w:rsidR="00DD32B0">
        <w:t>s</w:t>
      </w:r>
      <w:r>
        <w:t xml:space="preserve"> that</w:t>
      </w:r>
      <w:r w:rsidRPr="00DC019F">
        <w:t xml:space="preserve"> </w:t>
      </w:r>
      <w:r w:rsidR="003114AC">
        <w:t>“</w:t>
      </w:r>
      <w:r>
        <w:t>t</w:t>
      </w:r>
      <w:r w:rsidRPr="0061753D">
        <w:t xml:space="preserve">he FCC, if it tries to implement an HCT approach, will likely be unable to determine which contributor is </w:t>
      </w:r>
      <w:r w:rsidR="003114AC">
        <w:t>‘</w:t>
      </w:r>
      <w:r w:rsidRPr="0061753D">
        <w:t>responsible</w:t>
      </w:r>
      <w:r w:rsidR="003114AC">
        <w:t>’</w:t>
      </w:r>
      <w:r w:rsidRPr="0061753D">
        <w:t xml:space="preserve"> for a change in the noise floor</w:t>
      </w:r>
      <w:r w:rsidR="003114AC">
        <w:t>”</w:t>
      </w:r>
      <w:r>
        <w:t xml:space="preserve"> </w:t>
      </w:r>
      <w:r w:rsidR="0007522B">
        <w:t xml:space="preserve">or that the </w:t>
      </w:r>
      <w:r w:rsidR="0007522B" w:rsidRPr="000877D6">
        <w:t xml:space="preserve">adoption of an HCT approach </w:t>
      </w:r>
      <w:r w:rsidR="0007522B">
        <w:t xml:space="preserve">could </w:t>
      </w:r>
      <w:r w:rsidR="003114AC">
        <w:t>“</w:t>
      </w:r>
      <w:r w:rsidR="0007522B">
        <w:t>[</w:t>
      </w:r>
      <w:proofErr w:type="spellStart"/>
      <w:r w:rsidR="0007522B">
        <w:t>i</w:t>
      </w:r>
      <w:proofErr w:type="spellEnd"/>
      <w:r w:rsidR="0007522B">
        <w:t>]</w:t>
      </w:r>
      <w:r w:rsidR="0007522B" w:rsidRPr="000877D6">
        <w:t xml:space="preserve">n the long run, </w:t>
      </w:r>
      <w:r w:rsidR="0007522B">
        <w:t xml:space="preserve">[lead to] </w:t>
      </w:r>
      <w:r w:rsidR="0007522B" w:rsidRPr="000877D6">
        <w:t xml:space="preserve">increases in the noise floor </w:t>
      </w:r>
      <w:r w:rsidR="0007522B">
        <w:t xml:space="preserve">[that] </w:t>
      </w:r>
      <w:r w:rsidR="0007522B" w:rsidRPr="000877D6">
        <w:t>could render the RNSS bands inoperable for navigation and location-based services, technologies, and systems</w:t>
      </w:r>
      <w:r w:rsidR="003114AC">
        <w:t>”</w:t>
      </w:r>
      <w:r w:rsidR="00E042F2">
        <w:t xml:space="preserve"> are </w:t>
      </w:r>
      <w:r>
        <w:t>not germane</w:t>
      </w:r>
      <w:r w:rsidR="00E042F2">
        <w:t>.</w:t>
      </w:r>
      <w:r w:rsidR="00EC5839">
        <w:rPr>
          <w:rStyle w:val="FootnoteReference"/>
        </w:rPr>
        <w:footnoteReference w:id="27"/>
      </w:r>
      <w:r w:rsidR="00FE12B6">
        <w:t xml:space="preserve"> </w:t>
      </w:r>
      <w:r>
        <w:t>I</w:t>
      </w:r>
      <w:r w:rsidR="00687C0A">
        <w:t xml:space="preserve">t is </w:t>
      </w:r>
      <w:r w:rsidR="00DB12C3">
        <w:t>highly</w:t>
      </w:r>
      <w:r w:rsidR="00687C0A">
        <w:t xml:space="preserve"> unlikely that </w:t>
      </w:r>
      <w:r>
        <w:t>a</w:t>
      </w:r>
      <w:r w:rsidR="00BC02CB">
        <w:t>n</w:t>
      </w:r>
      <w:r>
        <w:t xml:space="preserve"> HCT would </w:t>
      </w:r>
      <w:r w:rsidR="00687C0A">
        <w:t xml:space="preserve">be used to characterize </w:t>
      </w:r>
      <w:r>
        <w:t xml:space="preserve">the </w:t>
      </w:r>
      <w:r w:rsidR="00B92F79">
        <w:t>RF environment</w:t>
      </w:r>
      <w:r>
        <w:t xml:space="preserve"> in </w:t>
      </w:r>
      <w:r w:rsidR="00BC02CB">
        <w:t xml:space="preserve">a noise limited band </w:t>
      </w:r>
      <w:r>
        <w:t xml:space="preserve">where Garmin equipment </w:t>
      </w:r>
      <w:r w:rsidR="00BC02CB">
        <w:t>is</w:t>
      </w:r>
      <w:r>
        <w:t xml:space="preserve"> operating</w:t>
      </w:r>
      <w:r w:rsidR="00F93660">
        <w:t xml:space="preserve">. It would, rather, describe </w:t>
      </w:r>
      <w:r>
        <w:t xml:space="preserve">the more intense RF environment in </w:t>
      </w:r>
      <w:r w:rsidR="00D703C0">
        <w:t xml:space="preserve">a </w:t>
      </w:r>
      <w:r w:rsidR="005F1B8B">
        <w:t xml:space="preserve">neighboring </w:t>
      </w:r>
      <w:r>
        <w:t>band</w:t>
      </w:r>
      <w:r w:rsidR="00D6340C">
        <w:t xml:space="preserve"> </w:t>
      </w:r>
      <w:r>
        <w:t xml:space="preserve">that has been </w:t>
      </w:r>
      <w:r w:rsidR="00D703C0">
        <w:t>re</w:t>
      </w:r>
      <w:r>
        <w:t>allocated to an interference limited service.</w:t>
      </w:r>
      <w:r w:rsidR="00F64DDE" w:rsidRPr="00F64DDE">
        <w:t xml:space="preserve"> </w:t>
      </w:r>
      <w:r w:rsidR="00901C81">
        <w:t xml:space="preserve">Thus, if they impinge on </w:t>
      </w:r>
      <w:r w:rsidR="00622890" w:rsidRPr="00622890">
        <w:t>Radio Navigation Satellite Service</w:t>
      </w:r>
      <w:r w:rsidR="00622890">
        <w:t xml:space="preserve"> (</w:t>
      </w:r>
      <w:r w:rsidR="00901C81">
        <w:t>RNSS</w:t>
      </w:r>
      <w:r w:rsidR="00622890">
        <w:t>)</w:t>
      </w:r>
      <w:r w:rsidR="00901C81">
        <w:t xml:space="preserve"> at all, </w:t>
      </w:r>
      <w:r w:rsidR="00F64DDE">
        <w:t xml:space="preserve">interference limits/HCTs </w:t>
      </w:r>
      <w:r w:rsidR="007E7C52">
        <w:t xml:space="preserve">would </w:t>
      </w:r>
      <w:r w:rsidR="00F64DDE">
        <w:t xml:space="preserve">be used to </w:t>
      </w:r>
      <w:r w:rsidR="00F64DDE" w:rsidRPr="00CA5899">
        <w:rPr>
          <w:u w:val="single"/>
        </w:rPr>
        <w:t>limit</w:t>
      </w:r>
      <w:r w:rsidR="00F64DDE">
        <w:t xml:space="preserve"> the interference generated in adjacent bands that could endanger the functioning of safety services.</w:t>
      </w:r>
    </w:p>
    <w:p w14:paraId="2238BB5B" w14:textId="112F4E42" w:rsidR="00ED1195" w:rsidRDefault="00ED1195" w:rsidP="008E62D5">
      <w:pPr>
        <w:pStyle w:val="Heading3"/>
      </w:pPr>
      <w:bookmarkStart w:id="22" w:name="_Toc109725056"/>
      <w:r>
        <w:t xml:space="preserve">The </w:t>
      </w:r>
      <w:r w:rsidR="00E44D47">
        <w:t xml:space="preserve">interference limit/HCT </w:t>
      </w:r>
      <w:r>
        <w:t xml:space="preserve">approach </w:t>
      </w:r>
      <w:r w:rsidR="00F86FD9">
        <w:t xml:space="preserve">requires </w:t>
      </w:r>
      <w:r>
        <w:t>setting numerical values for parameters</w:t>
      </w:r>
      <w:r w:rsidR="00E44D47">
        <w:t>—but this is a staple of Commission rulemaking</w:t>
      </w:r>
      <w:bookmarkEnd w:id="22"/>
    </w:p>
    <w:p w14:paraId="68C38F1F" w14:textId="65C6B3A9" w:rsidR="00566F46" w:rsidRDefault="00ED1195" w:rsidP="00573F96">
      <w:pPr>
        <w:pStyle w:val="BodyDoubleSpIndent"/>
      </w:pPr>
      <w:r>
        <w:t xml:space="preserve">It </w:t>
      </w:r>
      <w:r w:rsidR="00DB12C3">
        <w:t>may sometimes</w:t>
      </w:r>
      <w:r w:rsidR="00342A78">
        <w:t xml:space="preserve"> happen</w:t>
      </w:r>
      <w:r>
        <w:t xml:space="preserve"> that </w:t>
      </w:r>
      <w:r w:rsidR="003114AC">
        <w:t>“</w:t>
      </w:r>
      <w:r w:rsidRPr="00C17662">
        <w:t>selecting the appropriate numerical value for the various parameters that define a harm claim threshold will not be easy</w:t>
      </w:r>
      <w:r>
        <w:t>.</w:t>
      </w:r>
      <w:r w:rsidR="003114AC">
        <w:t>”</w:t>
      </w:r>
      <w:r w:rsidR="009E2119">
        <w:rPr>
          <w:rStyle w:val="FootnoteReference"/>
        </w:rPr>
        <w:footnoteReference w:id="28"/>
      </w:r>
      <w:r>
        <w:t xml:space="preserve"> </w:t>
      </w:r>
      <w:r w:rsidR="0039564F">
        <w:t>T</w:t>
      </w:r>
      <w:r>
        <w:t xml:space="preserve">here may </w:t>
      </w:r>
      <w:r w:rsidR="0039564F">
        <w:t xml:space="preserve">also </w:t>
      </w:r>
      <w:r>
        <w:t xml:space="preserve">be difficulty reaching consensus on the parameters even before deciding their values. However, </w:t>
      </w:r>
      <w:r w:rsidR="0039564F">
        <w:t>set</w:t>
      </w:r>
      <w:r w:rsidR="000F6BB3">
        <w:t>ting</w:t>
      </w:r>
      <w:r w:rsidR="0039564F">
        <w:t xml:space="preserve"> </w:t>
      </w:r>
      <w:r w:rsidR="00F43DCD">
        <w:t xml:space="preserve">technical </w:t>
      </w:r>
      <w:r w:rsidR="00566F46">
        <w:t>parameters and their values</w:t>
      </w:r>
      <w:r w:rsidR="00C43A70">
        <w:t xml:space="preserve"> </w:t>
      </w:r>
      <w:r w:rsidR="000F6BB3">
        <w:t xml:space="preserve">is a contentious topic even under the current </w:t>
      </w:r>
      <w:r w:rsidR="00C372D2">
        <w:t>regime</w:t>
      </w:r>
      <w:r>
        <w:t>.</w:t>
      </w:r>
      <w:r w:rsidR="00F43DCD">
        <w:rPr>
          <w:rStyle w:val="FootnoteReference"/>
        </w:rPr>
        <w:footnoteReference w:id="29"/>
      </w:r>
    </w:p>
    <w:p w14:paraId="255D846C" w14:textId="1AAD63BF" w:rsidR="00ED1195" w:rsidRDefault="0065406E" w:rsidP="00DB50E1">
      <w:pPr>
        <w:pStyle w:val="Heading3"/>
      </w:pPr>
      <w:bookmarkStart w:id="23" w:name="_Toc109725057"/>
      <w:r>
        <w:lastRenderedPageBreak/>
        <w:t>Concerns about</w:t>
      </w:r>
      <w:r w:rsidR="00ED1195" w:rsidRPr="00366FB5">
        <w:t xml:space="preserve"> </w:t>
      </w:r>
      <w:r w:rsidR="0071778F">
        <w:t xml:space="preserve">defining and interpreting </w:t>
      </w:r>
      <w:r>
        <w:t>statistics</w:t>
      </w:r>
      <w:r w:rsidR="0071778F">
        <w:t xml:space="preserve"> are not valid—and the variability </w:t>
      </w:r>
      <w:r w:rsidR="00A748C8">
        <w:t>they</w:t>
      </w:r>
      <w:r w:rsidR="00927B09">
        <w:t xml:space="preserve"> capture </w:t>
      </w:r>
      <w:r w:rsidR="003B56E8">
        <w:t>is</w:t>
      </w:r>
      <w:r w:rsidR="00ED1195">
        <w:t xml:space="preserve"> inherent</w:t>
      </w:r>
      <w:r w:rsidR="00927B09">
        <w:t xml:space="preserve"> </w:t>
      </w:r>
      <w:r w:rsidR="003B56E8">
        <w:t>in</w:t>
      </w:r>
      <w:r w:rsidR="00927B09">
        <w:t xml:space="preserve"> the RF environment</w:t>
      </w:r>
      <w:bookmarkEnd w:id="23"/>
    </w:p>
    <w:p w14:paraId="7A88CB6F" w14:textId="05941377" w:rsidR="0007548B" w:rsidRDefault="00ED1195" w:rsidP="00573F96">
      <w:pPr>
        <w:pStyle w:val="BodyDoubleSpIndent"/>
      </w:pPr>
      <w:r>
        <w:t>A few commenters raise concerns about the use of probabilistic methods, and particularly their applicability</w:t>
      </w:r>
      <w:r w:rsidR="00C372D2">
        <w:t xml:space="preserve"> </w:t>
      </w:r>
      <w:r>
        <w:t>to their services.</w:t>
      </w:r>
      <w:r w:rsidR="00AF71B2">
        <w:rPr>
          <w:rStyle w:val="FootnoteReference"/>
        </w:rPr>
        <w:footnoteReference w:id="30"/>
      </w:r>
      <w:r w:rsidR="00814BFA">
        <w:t xml:space="preserve"> </w:t>
      </w:r>
      <w:r w:rsidR="00077950">
        <w:t xml:space="preserve">They seem to believe that probabilistic analysis is </w:t>
      </w:r>
      <w:r w:rsidR="0013279E">
        <w:t xml:space="preserve">inapplicable to safety-of-life services, </w:t>
      </w:r>
      <w:r w:rsidR="00970A09">
        <w:t xml:space="preserve">which is belied by </w:t>
      </w:r>
      <w:r w:rsidR="002B699A">
        <w:t>its</w:t>
      </w:r>
      <w:r w:rsidR="00970A09">
        <w:t xml:space="preserve"> use in other safety-critical contexts like nuclear power</w:t>
      </w:r>
      <w:r w:rsidR="005748D7">
        <w:t xml:space="preserve"> and aviation</w:t>
      </w:r>
      <w:r w:rsidR="00970A09">
        <w:t>.</w:t>
      </w:r>
      <w:r w:rsidR="000610A9">
        <w:rPr>
          <w:rStyle w:val="FootnoteReference"/>
        </w:rPr>
        <w:footnoteReference w:id="31"/>
      </w:r>
    </w:p>
    <w:p w14:paraId="6E9E35BA" w14:textId="4732E267" w:rsidR="007E7C52" w:rsidRDefault="007E7C52" w:rsidP="007E7C52">
      <w:pPr>
        <w:pStyle w:val="BodyDoubleSpIndent"/>
      </w:pPr>
      <w:r>
        <w:t>Riihijärvi et al. describe how probability could be used in the design and use of HCTs.</w:t>
      </w:r>
      <w:r>
        <w:rPr>
          <w:rStyle w:val="FootnoteReference"/>
        </w:rPr>
        <w:footnoteReference w:id="32"/>
      </w:r>
      <w:r>
        <w:t xml:space="preserve"> Concerns about the difficulties caused by varying assumptions are no different for probabilistic methods than for rulemaking generally, cf. </w:t>
      </w:r>
      <w:r w:rsidR="00D44674">
        <w:t>sub</w:t>
      </w:r>
      <w:r>
        <w:t xml:space="preserve">section </w:t>
      </w:r>
      <w:r>
        <w:fldChar w:fldCharType="begin"/>
      </w:r>
      <w:r>
        <w:instrText xml:space="preserve"> REF _Ref108878536 \w \p \h </w:instrText>
      </w:r>
      <w:r>
        <w:fldChar w:fldCharType="separate"/>
      </w:r>
      <w:r w:rsidR="00373007">
        <w:t>IV.B above</w:t>
      </w:r>
      <w:r>
        <w:fldChar w:fldCharType="end"/>
      </w:r>
      <w:r>
        <w:t xml:space="preserve"> (p. </w:t>
      </w:r>
      <w:r>
        <w:fldChar w:fldCharType="begin"/>
      </w:r>
      <w:r>
        <w:instrText xml:space="preserve"> PAGEREF _Ref108878536 \h </w:instrText>
      </w:r>
      <w:r>
        <w:fldChar w:fldCharType="separate"/>
      </w:r>
      <w:r w:rsidR="00373007">
        <w:rPr>
          <w:noProof/>
        </w:rPr>
        <w:t>7</w:t>
      </w:r>
      <w:r>
        <w:fldChar w:fldCharType="end"/>
      </w:r>
      <w:r>
        <w:t>).</w:t>
      </w:r>
      <w:r>
        <w:rPr>
          <w:rStyle w:val="FootnoteReference"/>
        </w:rPr>
        <w:footnoteReference w:id="33"/>
      </w:r>
      <w:r>
        <w:t xml:space="preserve"> Threats to communications due to variability in the RF environment occur in safety-of-life applications as they do in others. Systems are designed to cope with them.</w:t>
      </w:r>
      <w:r>
        <w:rPr>
          <w:rStyle w:val="FootnoteReference"/>
        </w:rPr>
        <w:footnoteReference w:id="34"/>
      </w:r>
      <w:r>
        <w:t xml:space="preserve"> The need to anticipate variability is a fact of life, not a consequence of the harm claim threshold approach.</w:t>
      </w:r>
    </w:p>
    <w:p w14:paraId="05695111" w14:textId="082DF5E3" w:rsidR="00022F1A" w:rsidRDefault="00ED1195" w:rsidP="00573F96">
      <w:pPr>
        <w:pStyle w:val="BodyDoubleSpIndent"/>
      </w:pPr>
      <w:r>
        <w:lastRenderedPageBreak/>
        <w:t>Shure believes that it is impractical to specify</w:t>
      </w:r>
      <w:r w:rsidR="00225D9A">
        <w:t xml:space="preserve"> interference limits</w:t>
      </w:r>
      <w:r>
        <w:t xml:space="preserve"> for wireless networks like </w:t>
      </w:r>
      <w:r w:rsidR="00E80D70">
        <w:t>those it provides</w:t>
      </w:r>
      <w:r>
        <w:t>.</w:t>
      </w:r>
      <w:r>
        <w:rPr>
          <w:rStyle w:val="FootnoteReference"/>
        </w:rPr>
        <w:footnoteReference w:id="35"/>
      </w:r>
      <w:r>
        <w:t xml:space="preserve"> </w:t>
      </w:r>
      <w:r w:rsidR="000B30AE">
        <w:t xml:space="preserve">It is </w:t>
      </w:r>
      <w:r>
        <w:t xml:space="preserve">difficult to understand why this </w:t>
      </w:r>
      <w:r w:rsidR="000B30AE">
        <w:t>is so</w:t>
      </w:r>
      <w:r>
        <w:t xml:space="preserve">, since an upper bound </w:t>
      </w:r>
      <w:r w:rsidR="00053305">
        <w:t xml:space="preserve">interference limit </w:t>
      </w:r>
      <w:r>
        <w:t xml:space="preserve">could be found </w:t>
      </w:r>
      <w:r w:rsidR="004B2F77">
        <w:t>for</w:t>
      </w:r>
      <w:r>
        <w:t xml:space="preserve"> the RF environment</w:t>
      </w:r>
      <w:r w:rsidR="004B2F77">
        <w:t>s</w:t>
      </w:r>
      <w:r>
        <w:t xml:space="preserve"> created by local private networks, regardless of the RF technology used. </w:t>
      </w:r>
      <w:r w:rsidR="00183D50">
        <w:t>H</w:t>
      </w:r>
      <w:r>
        <w:t xml:space="preserve">owever, the question is moot since interference limits </w:t>
      </w:r>
      <w:r w:rsidR="00183D50">
        <w:t>(</w:t>
      </w:r>
      <w:r>
        <w:t>or harm claim thresholds</w:t>
      </w:r>
      <w:r w:rsidR="00183D50">
        <w:t>, if they were used)</w:t>
      </w:r>
      <w:r>
        <w:t xml:space="preserve"> would </w:t>
      </w:r>
      <w:r w:rsidR="000351CC">
        <w:t>not be set over the bands in which PMSE equipment is operating, but rather over bands</w:t>
      </w:r>
      <w:r w:rsidR="000351CC" w:rsidRPr="000351CC">
        <w:t xml:space="preserve"> </w:t>
      </w:r>
      <w:r w:rsidR="000351CC">
        <w:t xml:space="preserve">that were being reallocated to a more intensive use like </w:t>
      </w:r>
      <w:r w:rsidR="00725DE0">
        <w:t xml:space="preserve">cellular or unlicensed communications. </w:t>
      </w:r>
    </w:p>
    <w:p w14:paraId="7C7FA4E5" w14:textId="77777777" w:rsidR="00742CED" w:rsidRDefault="00742CED" w:rsidP="00742CED">
      <w:pPr>
        <w:pStyle w:val="Heading3"/>
      </w:pPr>
      <w:bookmarkStart w:id="24" w:name="_Toc109725058"/>
      <w:bookmarkStart w:id="25" w:name="_Ref108866407"/>
      <w:r>
        <w:t>Rules that use HCTs could lead to costly harmful interference claims—but so could any other technical rules</w:t>
      </w:r>
      <w:bookmarkEnd w:id="24"/>
    </w:p>
    <w:p w14:paraId="47E5D12A" w14:textId="6A0392D7" w:rsidR="00742CED" w:rsidRPr="002F61FA" w:rsidRDefault="00742CED" w:rsidP="00742CED">
      <w:pPr>
        <w:pStyle w:val="BodyDoubleSpIndent"/>
      </w:pPr>
      <w:r>
        <w:t xml:space="preserve">Garmin contends that </w:t>
      </w:r>
      <w:r w:rsidR="003114AC">
        <w:t>“</w:t>
      </w:r>
      <w:r w:rsidRPr="000A2811">
        <w:t>an HCT approach would expose parties to significant harms, disruption, and confusion</w:t>
      </w:r>
      <w:r w:rsidR="003114AC">
        <w:t>”</w:t>
      </w:r>
      <w:r>
        <w:t xml:space="preserve"> by forcing parties to </w:t>
      </w:r>
      <w:r w:rsidR="003114AC">
        <w:t>“</w:t>
      </w:r>
      <w:r>
        <w:t>rely[] on Commission complaint procedures to sort out widespread issues after the fact.</w:t>
      </w:r>
      <w:r w:rsidR="003114AC">
        <w:t>”</w:t>
      </w:r>
      <w:r>
        <w:rPr>
          <w:rStyle w:val="FootnoteReference"/>
        </w:rPr>
        <w:footnoteReference w:id="36"/>
      </w:r>
      <w:r>
        <w:t xml:space="preserve"> It seems to assume that a rulemaking </w:t>
      </w:r>
      <w:r w:rsidR="001805C4">
        <w:t>that</w:t>
      </w:r>
      <w:r>
        <w:t xml:space="preserve"> led to harm claim thresholds—or perhaps even the use of interference limits in guidance—would be less likely to protect the functioning of safety of life services than a traditional one. </w:t>
      </w:r>
      <w:r w:rsidR="001805C4">
        <w:t xml:space="preserve">This is equally unlikely under </w:t>
      </w:r>
      <w:r w:rsidR="00116F34">
        <w:t xml:space="preserve">the interference limits/HCT approach as under </w:t>
      </w:r>
      <w:r>
        <w:t xml:space="preserve">traditional rulemaking. Likewise, Garmin seems to believe that harm claim thresholds will lead to </w:t>
      </w:r>
      <w:r w:rsidR="003114AC">
        <w:t>“</w:t>
      </w:r>
      <w:r>
        <w:t>significant economic harm in the expense of identifying interference sources and pursuing resolution through protracted negotiations and interference complaint proceedings.</w:t>
      </w:r>
      <w:r w:rsidR="003114AC">
        <w:t>”</w:t>
      </w:r>
      <w:r>
        <w:rPr>
          <w:rStyle w:val="FootnoteReference"/>
        </w:rPr>
        <w:footnoteReference w:id="37"/>
      </w:r>
      <w:r>
        <w:t xml:space="preserve"> This is no different in the </w:t>
      </w:r>
      <w:r w:rsidR="003E4917">
        <w:t>interference limit</w:t>
      </w:r>
      <w:r>
        <w:t>/HCT approach than under the current regime.</w:t>
      </w:r>
    </w:p>
    <w:p w14:paraId="07AB0027" w14:textId="776294BB" w:rsidR="00ED1195" w:rsidRDefault="003D245C" w:rsidP="00DB50E1">
      <w:pPr>
        <w:pStyle w:val="Heading2"/>
      </w:pPr>
      <w:bookmarkStart w:id="26" w:name="_Ref108977385"/>
      <w:bookmarkStart w:id="27" w:name="_Toc109725059"/>
      <w:r>
        <w:lastRenderedPageBreak/>
        <w:t xml:space="preserve">Using </w:t>
      </w:r>
      <w:r w:rsidR="00D55BA3">
        <w:t xml:space="preserve">HCTs </w:t>
      </w:r>
      <w:r>
        <w:t xml:space="preserve">for interference resolution poses </w:t>
      </w:r>
      <w:r w:rsidR="00D9070A">
        <w:t>challenges, but they can be overcome</w:t>
      </w:r>
      <w:bookmarkEnd w:id="25"/>
      <w:bookmarkEnd w:id="26"/>
      <w:bookmarkEnd w:id="27"/>
    </w:p>
    <w:p w14:paraId="46318B56" w14:textId="3939FD30" w:rsidR="00ED1195" w:rsidRDefault="00ED1195" w:rsidP="00573F96">
      <w:pPr>
        <w:pStyle w:val="BodyDoubleSpIndent"/>
      </w:pPr>
      <w:r>
        <w:t xml:space="preserve">A few commenters raise concerns about the use of harm claim thresholds </w:t>
      </w:r>
      <w:r w:rsidR="003E4917">
        <w:t xml:space="preserve">that </w:t>
      </w:r>
      <w:r>
        <w:t xml:space="preserve">are inherent to the approach, and not merely a routine trait of spectrum rulemaking like the ones discussed in </w:t>
      </w:r>
      <w:r w:rsidR="000B4477">
        <w:t>the previous s</w:t>
      </w:r>
      <w:r>
        <w:t xml:space="preserve">ection. </w:t>
      </w:r>
      <w:r w:rsidR="00664A56">
        <w:t xml:space="preserve">I have </w:t>
      </w:r>
      <w:r w:rsidR="00E24E26">
        <w:t>dealt with some concerns in</w:t>
      </w:r>
      <w:r w:rsidR="00664A56">
        <w:t xml:space="preserve"> my </w:t>
      </w:r>
      <w:r w:rsidR="004D0267">
        <w:t>c</w:t>
      </w:r>
      <w:r w:rsidR="006B2E40">
        <w:t>omments and</w:t>
      </w:r>
      <w:r w:rsidR="00E24E26">
        <w:t xml:space="preserve"> will </w:t>
      </w:r>
      <w:r w:rsidR="006B2E40">
        <w:t xml:space="preserve">now </w:t>
      </w:r>
      <w:r w:rsidR="00E24E26">
        <w:t xml:space="preserve">address specific </w:t>
      </w:r>
      <w:r w:rsidR="00C80FC9">
        <w:t>issues raised in the record</w:t>
      </w:r>
      <w:r w:rsidR="00664A56">
        <w:t>.</w:t>
      </w:r>
      <w:r w:rsidR="00664A56">
        <w:rPr>
          <w:rStyle w:val="FootnoteReference"/>
        </w:rPr>
        <w:footnoteReference w:id="38"/>
      </w:r>
    </w:p>
    <w:p w14:paraId="75BB2F25" w14:textId="530F80CE" w:rsidR="00ED1195" w:rsidRDefault="00DE3B89" w:rsidP="00DB50E1">
      <w:pPr>
        <w:pStyle w:val="Heading3"/>
      </w:pPr>
      <w:bookmarkStart w:id="28" w:name="_Toc109725060"/>
      <w:r>
        <w:t xml:space="preserve">Making </w:t>
      </w:r>
      <w:r w:rsidR="00ED1195">
        <w:t>HCT</w:t>
      </w:r>
      <w:r>
        <w:t xml:space="preserve"> </w:t>
      </w:r>
      <w:r w:rsidR="00AB1C92">
        <w:t>claims</w:t>
      </w:r>
      <w:r w:rsidR="00ED1195">
        <w:t xml:space="preserve"> may require making field measurements, but modeling is also an option</w:t>
      </w:r>
      <w:bookmarkEnd w:id="28"/>
    </w:p>
    <w:p w14:paraId="0FC66D5B" w14:textId="1495A656" w:rsidR="00DB74A6" w:rsidRDefault="00ED1195" w:rsidP="00573F96">
      <w:pPr>
        <w:pStyle w:val="BodyDoubleSpIndent"/>
      </w:pPr>
      <w:r w:rsidRPr="002F61FA">
        <w:t>A harm claim threshold defines the RF environment conditions under which an operator can claim harmful interference, for example by demonstrating that a field strength statistic has been exceeded</w:t>
      </w:r>
      <w:r>
        <w:t>.</w:t>
      </w:r>
      <w:r>
        <w:rPr>
          <w:rStyle w:val="FootnoteReference"/>
        </w:rPr>
        <w:footnoteReference w:id="39"/>
      </w:r>
      <w:r>
        <w:t xml:space="preserve"> This </w:t>
      </w:r>
      <w:r w:rsidR="004A08AC">
        <w:t xml:space="preserve">may </w:t>
      </w:r>
      <w:r>
        <w:t>require making measurements</w:t>
      </w:r>
      <w:r w:rsidR="004A08AC">
        <w:t xml:space="preserve">. </w:t>
      </w:r>
      <w:r w:rsidR="00BE65DC">
        <w:t>Such</w:t>
      </w:r>
      <w:r w:rsidR="00064FA3">
        <w:t xml:space="preserve"> effort provides a barrier to </w:t>
      </w:r>
      <w:r w:rsidR="003114AC">
        <w:t>“</w:t>
      </w:r>
      <w:r w:rsidR="00064FA3">
        <w:t>frivolous claims.</w:t>
      </w:r>
      <w:r w:rsidR="003114AC">
        <w:t>”</w:t>
      </w:r>
      <w:r w:rsidR="00064FA3">
        <w:rPr>
          <w:rStyle w:val="FootnoteReference"/>
        </w:rPr>
        <w:footnoteReference w:id="40"/>
      </w:r>
      <w:r w:rsidR="00064FA3">
        <w:t xml:space="preserve"> </w:t>
      </w:r>
    </w:p>
    <w:p w14:paraId="06B55881" w14:textId="49049128" w:rsidR="00EE7736" w:rsidRDefault="004A08AC" w:rsidP="00573F96">
      <w:pPr>
        <w:pStyle w:val="BodyDoubleSpIndent"/>
      </w:pPr>
      <w:r>
        <w:t>T</w:t>
      </w:r>
      <w:r w:rsidR="00ED1195">
        <w:t xml:space="preserve">he measurement process may be contentious. The Commission can reduce contention </w:t>
      </w:r>
      <w:r w:rsidR="000F1BF7">
        <w:t xml:space="preserve">by </w:t>
      </w:r>
      <w:r w:rsidR="00ED1195">
        <w:t xml:space="preserve">defining </w:t>
      </w:r>
      <w:r w:rsidR="000F1BF7">
        <w:t xml:space="preserve">in advance </w:t>
      </w:r>
      <w:r w:rsidR="00ED1195">
        <w:t xml:space="preserve">what an acceptable measurement and </w:t>
      </w:r>
      <w:r w:rsidR="002A5915">
        <w:t>analysis</w:t>
      </w:r>
      <w:r w:rsidR="00ED1195">
        <w:t xml:space="preserve"> process would be.</w:t>
      </w:r>
      <w:r w:rsidR="00ED1195">
        <w:rPr>
          <w:rStyle w:val="FootnoteReference"/>
        </w:rPr>
        <w:footnoteReference w:id="41"/>
      </w:r>
      <w:bookmarkStart w:id="29" w:name="_Hlk108888193"/>
      <w:r w:rsidR="00A85D76">
        <w:t xml:space="preserve"> </w:t>
      </w:r>
      <w:bookmarkStart w:id="30" w:name="_Hlk108888878"/>
    </w:p>
    <w:p w14:paraId="4C98611D" w14:textId="33A4537B" w:rsidR="0003716B" w:rsidRDefault="003D15EC" w:rsidP="00573F96">
      <w:pPr>
        <w:pStyle w:val="BodyDoubleSpIndent"/>
      </w:pPr>
      <w:r>
        <w:t>There are many</w:t>
      </w:r>
      <w:r w:rsidR="000F1BF7">
        <w:t xml:space="preserve"> organizations </w:t>
      </w:r>
      <w:r>
        <w:t xml:space="preserve">with </w:t>
      </w:r>
      <w:r w:rsidR="00770632">
        <w:t xml:space="preserve">extensive experience </w:t>
      </w:r>
      <w:r w:rsidR="00DD5254">
        <w:t xml:space="preserve">of </w:t>
      </w:r>
      <w:r w:rsidR="00770632">
        <w:t xml:space="preserve">doing </w:t>
      </w:r>
      <w:r w:rsidR="00A85D76">
        <w:t xml:space="preserve">RF </w:t>
      </w:r>
      <w:r w:rsidR="00770632">
        <w:t>measurements</w:t>
      </w:r>
      <w:bookmarkEnd w:id="29"/>
      <w:r w:rsidR="00A85D76">
        <w:t xml:space="preserve"> in the field, including </w:t>
      </w:r>
      <w:r>
        <w:t xml:space="preserve">consultants offering field surveys and drive testing, government laboratories like </w:t>
      </w:r>
      <w:r w:rsidRPr="003D15EC">
        <w:t>NTIA</w:t>
      </w:r>
      <w:r w:rsidR="003114AC">
        <w:t>’</w:t>
      </w:r>
      <w:r>
        <w:t xml:space="preserve">s </w:t>
      </w:r>
      <w:r w:rsidRPr="003D15EC">
        <w:t>Institute for Telecommunication Sciences</w:t>
      </w:r>
      <w:r>
        <w:t>, and several universities</w:t>
      </w:r>
      <w:r w:rsidR="00770632">
        <w:t>.</w:t>
      </w:r>
      <w:bookmarkEnd w:id="30"/>
      <w:r w:rsidR="002A2922">
        <w:rPr>
          <w:rStyle w:val="FootnoteReference"/>
        </w:rPr>
        <w:footnoteReference w:id="42"/>
      </w:r>
    </w:p>
    <w:p w14:paraId="35EE7E5D" w14:textId="7F3C42B8" w:rsidR="00AE17EB" w:rsidRDefault="00AE17EB" w:rsidP="00AE17EB">
      <w:pPr>
        <w:pStyle w:val="BodyDoubleSpIndent"/>
      </w:pPr>
      <w:r>
        <w:lastRenderedPageBreak/>
        <w:t>The Commission may also choose to allow modeling as an alternative to measurement. Ofcom considered both measurement and modeling to verify compliance with its spectrum usage rights (SURs)</w:t>
      </w:r>
      <w:r w:rsidR="001B2728">
        <w:t>.</w:t>
      </w:r>
      <w:r w:rsidR="001B2728">
        <w:rPr>
          <w:rStyle w:val="FootnoteReference"/>
        </w:rPr>
        <w:footnoteReference w:id="43"/>
      </w:r>
      <w:r w:rsidR="001B2728">
        <w:t xml:space="preserve"> </w:t>
      </w:r>
      <w:r w:rsidR="0026485A">
        <w:t xml:space="preserve">SURs are </w:t>
      </w:r>
      <w:r>
        <w:t>statistical transmitter license conditions that use similar parameters to HCT</w:t>
      </w:r>
      <w:r w:rsidR="00363691">
        <w:t>s</w:t>
      </w:r>
      <w:r>
        <w:t xml:space="preserve"> but for different purposes.</w:t>
      </w:r>
      <w:r w:rsidR="00774E4C">
        <w:rPr>
          <w:rStyle w:val="FootnoteReference"/>
        </w:rPr>
        <w:footnoteReference w:id="44"/>
      </w:r>
      <w:r>
        <w:t xml:space="preserve"> After extensive discussion with </w:t>
      </w:r>
      <w:r w:rsidR="00A8612D">
        <w:t xml:space="preserve">a wide range of </w:t>
      </w:r>
      <w:r>
        <w:t xml:space="preserve">stakeholders, Ofcom concluded that there </w:t>
      </w:r>
      <w:r w:rsidR="00951FC8">
        <w:t>was</w:t>
      </w:r>
      <w:r>
        <w:t xml:space="preserve"> a general preference for modeling.</w:t>
      </w:r>
      <w:r>
        <w:rPr>
          <w:rStyle w:val="FootnoteReference"/>
        </w:rPr>
        <w:footnoteReference w:id="45"/>
      </w:r>
      <w:r>
        <w:t xml:space="preserve"> However, it concluded that no final choice needed to be made since </w:t>
      </w:r>
      <w:r w:rsidR="003114AC">
        <w:t>“</w:t>
      </w:r>
      <w:r>
        <w:t>[e]ither approach can be used to verify SURs</w:t>
      </w:r>
      <w:r w:rsidR="003114AC">
        <w:t>”</w:t>
      </w:r>
      <w:r>
        <w:t xml:space="preserve"> and the method used could even </w:t>
      </w:r>
      <w:r w:rsidR="003114AC">
        <w:t>“</w:t>
      </w:r>
      <w:r>
        <w:t>be changed during the lifetime of the licence if the licence holders wish.</w:t>
      </w:r>
      <w:r w:rsidR="003114AC">
        <w:t>”</w:t>
      </w:r>
      <w:r>
        <w:rPr>
          <w:rStyle w:val="FootnoteReference"/>
        </w:rPr>
        <w:footnoteReference w:id="46"/>
      </w:r>
    </w:p>
    <w:p w14:paraId="33473360" w14:textId="6AAD44A6" w:rsidR="00ED1195" w:rsidRDefault="00ED1195" w:rsidP="00DB50E1">
      <w:pPr>
        <w:pStyle w:val="Heading3"/>
      </w:pPr>
      <w:bookmarkStart w:id="31" w:name="_Toc109725061"/>
      <w:r>
        <w:t xml:space="preserve">HCTs </w:t>
      </w:r>
      <w:r w:rsidR="00253AF7">
        <w:t xml:space="preserve">as proposed </w:t>
      </w:r>
      <w:r>
        <w:t>place the burden of pleading on the party claiming harmful interference</w:t>
      </w:r>
      <w:r w:rsidR="003B56E8">
        <w:t xml:space="preserve">, </w:t>
      </w:r>
      <w:r w:rsidR="00253AF7">
        <w:t>but the burden could be spread</w:t>
      </w:r>
      <w:bookmarkEnd w:id="31"/>
    </w:p>
    <w:p w14:paraId="4D8AA644" w14:textId="570B94BA" w:rsidR="00ED1195" w:rsidRDefault="00ED1195" w:rsidP="00573F96">
      <w:pPr>
        <w:pStyle w:val="BodyDoubleSpIndent"/>
      </w:pPr>
      <w:r>
        <w:t>Cisco and Garmin are concerned that HCTs place the burden of demonstrating harmful interference on the party claiming harm.</w:t>
      </w:r>
      <w:r>
        <w:rPr>
          <w:rStyle w:val="FootnoteReference"/>
        </w:rPr>
        <w:footnoteReference w:id="47"/>
      </w:r>
      <w:r>
        <w:t xml:space="preserve"> This </w:t>
      </w:r>
      <w:r w:rsidR="00575262">
        <w:t xml:space="preserve">is </w:t>
      </w:r>
      <w:r w:rsidR="005A0EBB">
        <w:t>little</w:t>
      </w:r>
      <w:r>
        <w:t xml:space="preserve"> different from the current situation when a party </w:t>
      </w:r>
      <w:r w:rsidR="002C6AB5">
        <w:t>seeks</w:t>
      </w:r>
      <w:r>
        <w:t xml:space="preserve"> Enforcement Bureau </w:t>
      </w:r>
      <w:r w:rsidR="002C6AB5">
        <w:t xml:space="preserve">action </w:t>
      </w:r>
      <w:r w:rsidR="008F7EA2">
        <w:t xml:space="preserve">against </w:t>
      </w:r>
      <w:r>
        <w:t xml:space="preserve">harmful interference, other than </w:t>
      </w:r>
      <w:r w:rsidR="008F7EA2">
        <w:t xml:space="preserve">clarifying </w:t>
      </w:r>
      <w:r>
        <w:t xml:space="preserve">what </w:t>
      </w:r>
      <w:r w:rsidR="00AF2466">
        <w:t xml:space="preserve">justification </w:t>
      </w:r>
      <w:r>
        <w:t xml:space="preserve">needs to be </w:t>
      </w:r>
      <w:r w:rsidR="00AF2466">
        <w:t>provided</w:t>
      </w:r>
      <w:r>
        <w:t xml:space="preserve">. There is no </w:t>
      </w:r>
      <w:r w:rsidR="00CE4603">
        <w:t xml:space="preserve">clear </w:t>
      </w:r>
      <w:r>
        <w:t>regulatory precedent about where the burden of proving, or disproving, harmful interference lies.</w:t>
      </w:r>
      <w:r w:rsidR="00CE4603">
        <w:rPr>
          <w:rStyle w:val="FootnoteReference"/>
        </w:rPr>
        <w:footnoteReference w:id="48"/>
      </w:r>
    </w:p>
    <w:p w14:paraId="5B1967FA" w14:textId="13DEEFA6" w:rsidR="00ED1195" w:rsidRDefault="004B2EA6" w:rsidP="00573F96">
      <w:pPr>
        <w:pStyle w:val="BodyDoubleSpIndent"/>
      </w:pPr>
      <w:r>
        <w:lastRenderedPageBreak/>
        <w:t>However, t</w:t>
      </w:r>
      <w:r w:rsidR="00ED1195">
        <w:t xml:space="preserve">he Commission may choose to spread the burden. For example, it </w:t>
      </w:r>
      <w:r w:rsidR="001C2FFC">
        <w:t>might</w:t>
      </w:r>
      <w:r w:rsidR="00ED1195">
        <w:t xml:space="preserve"> allow a party who has made a </w:t>
      </w:r>
      <w:r w:rsidR="00231728">
        <w:t>preliminary</w:t>
      </w:r>
      <w:r w:rsidR="00ED1195">
        <w:t xml:space="preserve"> claim to obtain corroborating data from the transmitting operator if that operator can collect data more easily than the complainant.</w:t>
      </w:r>
      <w:r w:rsidR="00996E85">
        <w:rPr>
          <w:rStyle w:val="FootnoteReference"/>
        </w:rPr>
        <w:footnoteReference w:id="49"/>
      </w:r>
    </w:p>
    <w:p w14:paraId="10D2182A" w14:textId="196DFE86" w:rsidR="00ED1195" w:rsidRDefault="00ED1195" w:rsidP="00DB50E1">
      <w:pPr>
        <w:pStyle w:val="Heading2"/>
      </w:pPr>
      <w:bookmarkStart w:id="32" w:name="_Ref108866448"/>
      <w:bookmarkStart w:id="33" w:name="_Toc109725062"/>
      <w:r>
        <w:t xml:space="preserve">Some comments misunderstand the </w:t>
      </w:r>
      <w:r w:rsidR="00385B28">
        <w:t xml:space="preserve">intent and </w:t>
      </w:r>
      <w:r>
        <w:t xml:space="preserve">uses </w:t>
      </w:r>
      <w:r w:rsidR="000B56E6">
        <w:t xml:space="preserve">interference limits and </w:t>
      </w:r>
      <w:bookmarkEnd w:id="32"/>
      <w:r w:rsidR="000B56E6">
        <w:t>harm claim thresholds</w:t>
      </w:r>
      <w:bookmarkEnd w:id="33"/>
    </w:p>
    <w:p w14:paraId="66F5B30F" w14:textId="06366E83" w:rsidR="00ED1195" w:rsidRDefault="00951FC8" w:rsidP="00573F96">
      <w:pPr>
        <w:pStyle w:val="BodyDoubleSpIndent"/>
      </w:pPr>
      <w:r>
        <w:t>A</w:t>
      </w:r>
      <w:r w:rsidR="00ED1195">
        <w:t xml:space="preserve"> few comments in the record misunderstand or misconstrue interference limits and harm claim thresholds. Since the RF environment approach is </w:t>
      </w:r>
      <w:r w:rsidR="00E9176B">
        <w:t>not yet widely used</w:t>
      </w:r>
      <w:r w:rsidR="00ED1195">
        <w:t xml:space="preserve">, it </w:t>
      </w:r>
      <w:r w:rsidR="00E9176B">
        <w:t>may be</w:t>
      </w:r>
      <w:r w:rsidR="00ED1195">
        <w:t xml:space="preserve"> </w:t>
      </w:r>
      <w:r w:rsidR="00E9176B">
        <w:t xml:space="preserve">useful </w:t>
      </w:r>
      <w:r w:rsidR="00ED1195">
        <w:t>to clarify some points.</w:t>
      </w:r>
    </w:p>
    <w:p w14:paraId="5FA6F37B" w14:textId="40AEFF25" w:rsidR="00ED2679" w:rsidRDefault="009E42F2" w:rsidP="00573F96">
      <w:pPr>
        <w:pStyle w:val="BodyDoubleSpIndent"/>
      </w:pPr>
      <w:r>
        <w:t xml:space="preserve">Cisco seems to believe that HCTs </w:t>
      </w:r>
      <w:r w:rsidR="00C75B03">
        <w:t>only apply to new devices</w:t>
      </w:r>
      <w:r w:rsidR="00C148BA">
        <w:t>.</w:t>
      </w:r>
      <w:r w:rsidR="00C148BA">
        <w:rPr>
          <w:rStyle w:val="FootnoteReference"/>
        </w:rPr>
        <w:footnoteReference w:id="50"/>
      </w:r>
      <w:r w:rsidR="009B31C5">
        <w:t xml:space="preserve"> </w:t>
      </w:r>
      <w:r w:rsidR="00BB028E">
        <w:t xml:space="preserve">This leads it to worry </w:t>
      </w:r>
      <w:r w:rsidR="0039406C">
        <w:t>that HCTs would discourage innovation.</w:t>
      </w:r>
      <w:r w:rsidR="0079593C">
        <w:rPr>
          <w:rStyle w:val="FootnoteReference"/>
        </w:rPr>
        <w:footnoteReference w:id="51"/>
      </w:r>
      <w:r w:rsidR="009B31C5">
        <w:t xml:space="preserve"> This may be because it</w:t>
      </w:r>
      <w:r w:rsidR="009D3BA8">
        <w:t xml:space="preserve"> wrongly</w:t>
      </w:r>
      <w:r w:rsidR="009B31C5">
        <w:t xml:space="preserve"> considers HCTs to be receiver mandates.</w:t>
      </w:r>
      <w:r w:rsidR="009B31C5">
        <w:rPr>
          <w:rStyle w:val="FootnoteReference"/>
        </w:rPr>
        <w:footnoteReference w:id="52"/>
      </w:r>
      <w:r w:rsidR="009B31C5">
        <w:t xml:space="preserve"> </w:t>
      </w:r>
      <w:r w:rsidR="00F474E7" w:rsidRPr="009E42F2">
        <w:t xml:space="preserve">The Consumer Technology Association </w:t>
      </w:r>
      <w:r w:rsidR="00F474E7">
        <w:t xml:space="preserve">(CTA) </w:t>
      </w:r>
      <w:r w:rsidR="00A86CDA">
        <w:t xml:space="preserve">also </w:t>
      </w:r>
      <w:r w:rsidR="00F474E7" w:rsidRPr="009E42F2">
        <w:t xml:space="preserve">seems to believe that interference thresholds could </w:t>
      </w:r>
      <w:r w:rsidR="00136B86">
        <w:t xml:space="preserve">discourage </w:t>
      </w:r>
      <w:r w:rsidR="00F474E7" w:rsidRPr="009E42F2">
        <w:t xml:space="preserve">technology improvement </w:t>
      </w:r>
      <w:r w:rsidR="00D0227F">
        <w:t xml:space="preserve">because it </w:t>
      </w:r>
      <w:r w:rsidR="00F474E7" w:rsidRPr="009E42F2">
        <w:t>conflat</w:t>
      </w:r>
      <w:r w:rsidR="00D0227F">
        <w:t>es</w:t>
      </w:r>
      <w:r w:rsidR="00F474E7" w:rsidRPr="009E42F2">
        <w:t xml:space="preserve"> equipment-based receiver mandates with environment-based interference limits</w:t>
      </w:r>
      <w:r w:rsidR="00F474E7">
        <w:t>.</w:t>
      </w:r>
      <w:r w:rsidR="00F474E7">
        <w:rPr>
          <w:rStyle w:val="FootnoteReference"/>
        </w:rPr>
        <w:footnoteReference w:id="53"/>
      </w:r>
      <w:r w:rsidR="00F474E7">
        <w:t xml:space="preserve"> </w:t>
      </w:r>
      <w:r w:rsidR="009B31C5">
        <w:t xml:space="preserve">Quite the opposite. </w:t>
      </w:r>
      <w:r w:rsidR="00D0227F" w:rsidRPr="00D0227F">
        <w:rPr>
          <w:i/>
          <w:iCs/>
        </w:rPr>
        <w:t>First</w:t>
      </w:r>
      <w:r w:rsidR="00D0227F">
        <w:t xml:space="preserve">, HCTs </w:t>
      </w:r>
      <w:r w:rsidR="009B31C5">
        <w:t>and interference limits are ways to characterize a band</w:t>
      </w:r>
      <w:r w:rsidR="003114AC">
        <w:t>’</w:t>
      </w:r>
      <w:r w:rsidR="009B31C5">
        <w:t xml:space="preserve">s RF environment, </w:t>
      </w:r>
      <w:r w:rsidR="009B31C5">
        <w:lastRenderedPageBreak/>
        <w:t>but they say nothing about the performance of receiver equipment.</w:t>
      </w:r>
      <w:r>
        <w:t xml:space="preserve"> </w:t>
      </w:r>
      <w:r w:rsidR="0097578D" w:rsidRPr="0097578D">
        <w:rPr>
          <w:i/>
          <w:iCs/>
        </w:rPr>
        <w:t>Second</w:t>
      </w:r>
      <w:r w:rsidR="0097578D">
        <w:t>, i</w:t>
      </w:r>
      <w:r w:rsidR="00822F89">
        <w:t xml:space="preserve">nterference limits or </w:t>
      </w:r>
      <w:r>
        <w:t xml:space="preserve">HCTs </w:t>
      </w:r>
      <w:r w:rsidR="00822F89">
        <w:t xml:space="preserve">could </w:t>
      </w:r>
      <w:r>
        <w:t>be chosen to incentivize the deployment of more interference-immune systems.</w:t>
      </w:r>
      <w:r>
        <w:rPr>
          <w:rStyle w:val="FootnoteReference"/>
        </w:rPr>
        <w:footnoteReference w:id="54"/>
      </w:r>
      <w:r>
        <w:t xml:space="preserve"> However, it should be up to operators to decide whether they do so by improving receivers or </w:t>
      </w:r>
      <w:r w:rsidR="00C61992">
        <w:t xml:space="preserve">by </w:t>
      </w:r>
      <w:r>
        <w:t>some other means.</w:t>
      </w:r>
      <w:r>
        <w:rPr>
          <w:rStyle w:val="FootnoteReference"/>
        </w:rPr>
        <w:footnoteReference w:id="55"/>
      </w:r>
      <w:r>
        <w:t xml:space="preserve"> </w:t>
      </w:r>
    </w:p>
    <w:p w14:paraId="7B738DD6" w14:textId="64A6E4BA" w:rsidR="00ED1195" w:rsidRDefault="00ED1195" w:rsidP="00573F96">
      <w:pPr>
        <w:pStyle w:val="BodyDoubleSpIndent"/>
      </w:pPr>
      <w:r>
        <w:t xml:space="preserve">Intel believes that HCT levels would </w:t>
      </w:r>
      <w:r w:rsidR="00B64947">
        <w:t xml:space="preserve">have to </w:t>
      </w:r>
      <w:r>
        <w:t>be set retroactively for all existing band</w:t>
      </w:r>
      <w:r w:rsidR="00C92242">
        <w:t>s</w:t>
      </w:r>
      <w:r>
        <w:t>.</w:t>
      </w:r>
      <w:r w:rsidR="00884D9D">
        <w:rPr>
          <w:rStyle w:val="FootnoteReference"/>
        </w:rPr>
        <w:footnoteReference w:id="56"/>
      </w:r>
      <w:r>
        <w:t xml:space="preserve"> I am not aware of any </w:t>
      </w:r>
      <w:r w:rsidR="00C1751B">
        <w:t>such proposals</w:t>
      </w:r>
      <w:r w:rsidR="00AD7B78">
        <w:t xml:space="preserve"> and indeed,</w:t>
      </w:r>
      <w:r>
        <w:t xml:space="preserve"> </w:t>
      </w:r>
      <w:r w:rsidR="00AD7B78">
        <w:t xml:space="preserve">papers </w:t>
      </w:r>
      <w:r>
        <w:t xml:space="preserve">on this topic have emphasized the use </w:t>
      </w:r>
      <w:r w:rsidR="00AD7B78">
        <w:t xml:space="preserve">interference limits and HCTs </w:t>
      </w:r>
      <w:r>
        <w:t xml:space="preserve">in </w:t>
      </w:r>
      <w:r w:rsidRPr="006D1729">
        <w:rPr>
          <w:u w:val="single"/>
        </w:rPr>
        <w:t>new</w:t>
      </w:r>
      <w:r>
        <w:t xml:space="preserve"> allocations.</w:t>
      </w:r>
      <w:r w:rsidR="00AD7B78">
        <w:rPr>
          <w:rStyle w:val="FootnoteReference"/>
        </w:rPr>
        <w:footnoteReference w:id="57"/>
      </w:r>
    </w:p>
    <w:p w14:paraId="1B155357" w14:textId="5CD04082" w:rsidR="00ED1195" w:rsidRDefault="00ED1195" w:rsidP="00573F96">
      <w:pPr>
        <w:pStyle w:val="BodyDoubleSpIndent"/>
      </w:pPr>
      <w:r>
        <w:t xml:space="preserve">Intel objects to the fact that HCTs do not solve problems they are not </w:t>
      </w:r>
      <w:r w:rsidR="0010745F">
        <w:t>designed</w:t>
      </w:r>
      <w:r>
        <w:t xml:space="preserve"> to solve.</w:t>
      </w:r>
      <w:r>
        <w:rPr>
          <w:rStyle w:val="FootnoteReference"/>
        </w:rPr>
        <w:footnoteReference w:id="58"/>
      </w:r>
      <w:r>
        <w:t xml:space="preserve"> HCTs or interference limits are not intended to identify </w:t>
      </w:r>
      <w:r w:rsidR="003114AC">
        <w:t>“</w:t>
      </w:r>
      <w:r>
        <w:t>poor-performing receivers.</w:t>
      </w:r>
      <w:r w:rsidR="003114AC">
        <w:t>”</w:t>
      </w:r>
      <w:r w:rsidR="0039166E">
        <w:rPr>
          <w:rStyle w:val="FootnoteReference"/>
        </w:rPr>
        <w:footnoteReference w:id="59"/>
      </w:r>
      <w:r>
        <w:t xml:space="preserve"> They may prompt (but do not require) operators to change elements of their system architecture, which may include receivers.</w:t>
      </w:r>
      <w:r w:rsidR="00295B8B">
        <w:t xml:space="preserve"> </w:t>
      </w:r>
      <w:r w:rsidR="00891E34">
        <w:t>E</w:t>
      </w:r>
      <w:r w:rsidRPr="005C16D7">
        <w:t xml:space="preserve">xisting receivers in bands near reallocations </w:t>
      </w:r>
      <w:r w:rsidR="00891E34">
        <w:t xml:space="preserve">that </w:t>
      </w:r>
      <w:r w:rsidR="007006FF">
        <w:t xml:space="preserve">will not be </w:t>
      </w:r>
      <w:r w:rsidRPr="005C16D7">
        <w:t>immune to interference at the planned new levels</w:t>
      </w:r>
      <w:r w:rsidR="00295B8B">
        <w:t xml:space="preserve"> </w:t>
      </w:r>
      <w:r>
        <w:t xml:space="preserve">are not </w:t>
      </w:r>
      <w:r w:rsidR="003114AC">
        <w:t>“</w:t>
      </w:r>
      <w:r>
        <w:t>poor-performing</w:t>
      </w:r>
      <w:r w:rsidR="003114AC">
        <w:t>”</w:t>
      </w:r>
      <w:r>
        <w:t xml:space="preserve"> as such. As I </w:t>
      </w:r>
      <w:r w:rsidR="00457285">
        <w:t xml:space="preserve">have </w:t>
      </w:r>
      <w:r>
        <w:t xml:space="preserve">argued, </w:t>
      </w:r>
      <w:r w:rsidR="003114AC">
        <w:t>“</w:t>
      </w:r>
      <w:r>
        <w:t>[T]</w:t>
      </w:r>
      <w:r w:rsidRPr="005C16D7">
        <w:t xml:space="preserve">he Commission has an RF environment challenge, not a receiver equipment problem. </w:t>
      </w:r>
      <w:r w:rsidR="003114AC">
        <w:t>‘</w:t>
      </w:r>
      <w:r w:rsidRPr="005C16D7">
        <w:t>Poor receivers</w:t>
      </w:r>
      <w:r w:rsidR="003114AC">
        <w:t>’</w:t>
      </w:r>
      <w:r w:rsidRPr="005C16D7">
        <w:t xml:space="preserve"> are the canaries not the carbon monoxide in a coal mine.</w:t>
      </w:r>
      <w:r w:rsidR="003114AC">
        <w:t>”</w:t>
      </w:r>
      <w:r>
        <w:rPr>
          <w:rStyle w:val="FootnoteReference"/>
        </w:rPr>
        <w:footnoteReference w:id="60"/>
      </w:r>
    </w:p>
    <w:p w14:paraId="31C068CD" w14:textId="1ADD54A6" w:rsidR="00ED1195" w:rsidRDefault="00F30728" w:rsidP="00DB50E1">
      <w:pPr>
        <w:pStyle w:val="Heading2"/>
      </w:pPr>
      <w:bookmarkStart w:id="34" w:name="_Ref108866590"/>
      <w:bookmarkStart w:id="35" w:name="_Toc109725063"/>
      <w:r>
        <w:lastRenderedPageBreak/>
        <w:t>The way forward</w:t>
      </w:r>
      <w:bookmarkEnd w:id="34"/>
      <w:bookmarkEnd w:id="35"/>
    </w:p>
    <w:p w14:paraId="3D814CE6" w14:textId="5807677C" w:rsidR="00ED1195" w:rsidRPr="00B942DA" w:rsidRDefault="00ED1195" w:rsidP="00DB50E1">
      <w:pPr>
        <w:pStyle w:val="Heading3"/>
      </w:pPr>
      <w:bookmarkStart w:id="36" w:name="_Toc109725064"/>
      <w:r>
        <w:t xml:space="preserve">The Commission should </w:t>
      </w:r>
      <w:r w:rsidR="00827FF0">
        <w:t>issue a policy statement</w:t>
      </w:r>
      <w:r w:rsidR="00827FF0" w:rsidRPr="00B942DA">
        <w:t xml:space="preserve"> </w:t>
      </w:r>
      <w:r w:rsidR="00827FF0">
        <w:t xml:space="preserve">that </w:t>
      </w:r>
      <w:r w:rsidR="003D0CD9">
        <w:t>describes</w:t>
      </w:r>
      <w:r w:rsidRPr="00B942DA">
        <w:t xml:space="preserve"> how it </w:t>
      </w:r>
      <w:r w:rsidR="00827FF0">
        <w:t xml:space="preserve">will </w:t>
      </w:r>
      <w:r w:rsidRPr="00B942DA">
        <w:t>assess radio system</w:t>
      </w:r>
      <w:r w:rsidR="009438F0" w:rsidRPr="009438F0">
        <w:t xml:space="preserve"> </w:t>
      </w:r>
      <w:r w:rsidR="009438F0" w:rsidRPr="00B942DA">
        <w:t>compatibility</w:t>
      </w:r>
      <w:bookmarkEnd w:id="36"/>
    </w:p>
    <w:p w14:paraId="76857B41" w14:textId="183CAFDB" w:rsidR="00ED1195" w:rsidRDefault="00ED1195" w:rsidP="00573F96">
      <w:pPr>
        <w:pStyle w:val="BodyDoubleSpIndent"/>
      </w:pPr>
      <w:r>
        <w:t xml:space="preserve">There is support in the record for the Commission </w:t>
      </w:r>
      <w:r w:rsidR="00257D9A">
        <w:t>to issue</w:t>
      </w:r>
      <w:r>
        <w:t xml:space="preserve"> a policy statement that lays out how it </w:t>
      </w:r>
      <w:r w:rsidR="008F5936">
        <w:t>will</w:t>
      </w:r>
      <w:r>
        <w:t xml:space="preserve"> assess compatibility between radio systems.</w:t>
      </w:r>
      <w:bookmarkStart w:id="37" w:name="_Ref109041306"/>
      <w:r w:rsidR="00941D00">
        <w:rPr>
          <w:rStyle w:val="FootnoteReference"/>
        </w:rPr>
        <w:footnoteReference w:id="61"/>
      </w:r>
      <w:bookmarkEnd w:id="37"/>
      <w:r>
        <w:t xml:space="preserve"> </w:t>
      </w:r>
      <w:r w:rsidR="00491FBA">
        <w:t xml:space="preserve">The </w:t>
      </w:r>
      <w:r w:rsidR="00491FBA" w:rsidRPr="00827FF0">
        <w:rPr>
          <w:i/>
          <w:iCs/>
        </w:rPr>
        <w:t>TAC Basic Principles</w:t>
      </w:r>
      <w:r w:rsidR="00491FBA">
        <w:t xml:space="preserve"> white paper provides an excellent foundation for such guidance.</w:t>
      </w:r>
      <w:r w:rsidR="00C12EEB">
        <w:rPr>
          <w:rStyle w:val="FootnoteReference"/>
        </w:rPr>
        <w:footnoteReference w:id="62"/>
      </w:r>
      <w:r w:rsidR="00C12EEB">
        <w:t xml:space="preserve"> </w:t>
      </w:r>
      <w:r w:rsidR="000C0CFE" w:rsidRPr="000C0CFE">
        <w:t xml:space="preserve">The Commission should use the extensive and often detailed feedback in the record to develop </w:t>
      </w:r>
      <w:r w:rsidR="000C0CFE" w:rsidRPr="00775B21">
        <w:rPr>
          <w:i/>
          <w:iCs/>
        </w:rPr>
        <w:t>Basic Principles 2.0</w:t>
      </w:r>
      <w:r w:rsidR="000C0CFE" w:rsidRPr="000C0CFE">
        <w:t xml:space="preserve">. This statement of policy would </w:t>
      </w:r>
      <w:r w:rsidR="000C0CFE">
        <w:t xml:space="preserve">guide </w:t>
      </w:r>
      <w:r w:rsidR="000C0CFE" w:rsidRPr="000C0CFE">
        <w:t xml:space="preserve">staff </w:t>
      </w:r>
      <w:r w:rsidR="000C0CFE">
        <w:t xml:space="preserve">on how to </w:t>
      </w:r>
      <w:r w:rsidR="000C0CFE" w:rsidRPr="000C0CFE">
        <w:t>assess the compatibility of</w:t>
      </w:r>
      <w:r w:rsidR="005A2D58">
        <w:t xml:space="preserve">, </w:t>
      </w:r>
      <w:r w:rsidR="007920E2" w:rsidRPr="007920E2">
        <w:t>and develop recommendations for,</w:t>
      </w:r>
      <w:r w:rsidR="000C0CFE" w:rsidRPr="000C0CFE">
        <w:t xml:space="preserve"> future spectrum allocations.</w:t>
      </w:r>
    </w:p>
    <w:p w14:paraId="79D66ADD" w14:textId="0F83BCCD" w:rsidR="00ED1195" w:rsidRDefault="00ED1195" w:rsidP="00DB50E1">
      <w:pPr>
        <w:pStyle w:val="Heading3"/>
      </w:pPr>
      <w:bookmarkStart w:id="39" w:name="_Ref109465045"/>
      <w:bookmarkStart w:id="40" w:name="_Toc109725065"/>
      <w:r>
        <w:t xml:space="preserve">The Commission should pilot interference limits in a </w:t>
      </w:r>
      <w:r w:rsidR="00AA77C6">
        <w:t xml:space="preserve">limited-scope </w:t>
      </w:r>
      <w:r>
        <w:t>reallocation</w:t>
      </w:r>
      <w:r w:rsidR="00CF4577">
        <w:t xml:space="preserve"> or rule change</w:t>
      </w:r>
      <w:bookmarkEnd w:id="39"/>
      <w:bookmarkEnd w:id="40"/>
    </w:p>
    <w:p w14:paraId="3E72FE3B" w14:textId="77777777" w:rsidR="00781288" w:rsidRDefault="00B547D6" w:rsidP="00483295">
      <w:pPr>
        <w:pStyle w:val="BodyDoubleSpIndent"/>
      </w:pPr>
      <w:r>
        <w:t xml:space="preserve">While a policy statement </w:t>
      </w:r>
      <w:r w:rsidR="0024691A">
        <w:t xml:space="preserve">lays the groundwork for </w:t>
      </w:r>
      <w:r w:rsidR="00864941">
        <w:t xml:space="preserve">improved whole-system interference immunity, it </w:t>
      </w:r>
      <w:r w:rsidR="00570B03">
        <w:t xml:space="preserve">will not be </w:t>
      </w:r>
      <w:r w:rsidR="00864941">
        <w:t xml:space="preserve">sufficient </w:t>
      </w:r>
      <w:r w:rsidR="000802F1">
        <w:t>at band boundaries between disparate services</w:t>
      </w:r>
      <w:r w:rsidR="00F31C18">
        <w:t xml:space="preserve"> and industries </w:t>
      </w:r>
      <w:r w:rsidR="00676E5D">
        <w:t xml:space="preserve">that have no common interests. Voluntary </w:t>
      </w:r>
      <w:r w:rsidR="003E7594">
        <w:t xml:space="preserve">approaches like </w:t>
      </w:r>
      <w:r w:rsidR="001B4BED">
        <w:t>single-</w:t>
      </w:r>
      <w:r w:rsidR="003E7594">
        <w:t xml:space="preserve">industry standards </w:t>
      </w:r>
      <w:r w:rsidR="00453A59">
        <w:t xml:space="preserve">that represent interests </w:t>
      </w:r>
      <w:r w:rsidR="000C1310">
        <w:t xml:space="preserve">only </w:t>
      </w:r>
      <w:r w:rsidR="00453A59">
        <w:t xml:space="preserve">on one side of a band edge </w:t>
      </w:r>
      <w:r w:rsidR="003E7594">
        <w:t>will not help here, either.</w:t>
      </w:r>
      <w:r w:rsidR="001B4BED">
        <w:t xml:space="preserve"> Something like an interference limits approach is needed.</w:t>
      </w:r>
      <w:r w:rsidR="00570B03">
        <w:t xml:space="preserve"> </w:t>
      </w:r>
    </w:p>
    <w:p w14:paraId="4CCD5AE6" w14:textId="75738BC7" w:rsidR="00880116" w:rsidRPr="00880116" w:rsidRDefault="00570B03" w:rsidP="009A6DFF">
      <w:pPr>
        <w:pStyle w:val="BodyDoubleSpIndent"/>
      </w:pPr>
      <w:r>
        <w:t>However, i</w:t>
      </w:r>
      <w:r w:rsidR="00ED1195">
        <w:t>nterference limits and harm claim thresholds—and RF environment approaches generally—are relatively unfamiliar. The Commission should</w:t>
      </w:r>
      <w:r w:rsidR="00483295">
        <w:t xml:space="preserve"> develop its expertise and build confidence </w:t>
      </w:r>
      <w:r w:rsidR="00ED1195">
        <w:t xml:space="preserve">by </w:t>
      </w:r>
      <w:r w:rsidR="00EE4D51">
        <w:t xml:space="preserve">piloting </w:t>
      </w:r>
      <w:r w:rsidR="00ED1195">
        <w:t>interference limits</w:t>
      </w:r>
      <w:r w:rsidR="00EE4D51">
        <w:t>. It could use them</w:t>
      </w:r>
      <w:r w:rsidR="00ED1195">
        <w:t xml:space="preserve"> </w:t>
      </w:r>
      <w:r w:rsidR="00483295">
        <w:t xml:space="preserve">to support </w:t>
      </w:r>
      <w:r w:rsidR="00ED1195">
        <w:t>developing rules in a new proceeding with limited scope</w:t>
      </w:r>
      <w:r w:rsidR="00541C4B">
        <w:t xml:space="preserve">, such as </w:t>
      </w:r>
      <w:r w:rsidR="00483295">
        <w:t xml:space="preserve">a </w:t>
      </w:r>
      <w:r w:rsidR="00ED1195">
        <w:t xml:space="preserve">5 or 10 MHz </w:t>
      </w:r>
      <w:r w:rsidR="00483295">
        <w:t xml:space="preserve">band </w:t>
      </w:r>
      <w:r w:rsidR="00ED1195">
        <w:t xml:space="preserve">below 2 GHz </w:t>
      </w:r>
      <w:r w:rsidR="00483295">
        <w:t xml:space="preserve">that is </w:t>
      </w:r>
      <w:r w:rsidR="00ED1195">
        <w:t xml:space="preserve">being </w:t>
      </w:r>
      <w:r w:rsidR="00ED1195">
        <w:lastRenderedPageBreak/>
        <w:t>reallocated to terrestrial mobile service</w:t>
      </w:r>
      <w:r w:rsidR="00483295">
        <w:t>,</w:t>
      </w:r>
      <w:r w:rsidR="00ED1195">
        <w:t xml:space="preserve"> </w:t>
      </w:r>
      <w:r w:rsidR="00483295">
        <w:t xml:space="preserve">with </w:t>
      </w:r>
      <w:r w:rsidR="00ED1195">
        <w:t xml:space="preserve">just a few stakeholders on either side of the band </w:t>
      </w:r>
      <w:r w:rsidR="000722AC">
        <w:t>edge</w:t>
      </w:r>
      <w:r w:rsidR="00ED1195">
        <w:t>.</w:t>
      </w:r>
      <w:r w:rsidR="00ED1195">
        <w:rPr>
          <w:rStyle w:val="FootnoteReference"/>
        </w:rPr>
        <w:footnoteReference w:id="63"/>
      </w:r>
      <w:r w:rsidR="00A81BE3">
        <w:t xml:space="preserve"> </w:t>
      </w:r>
      <w:r w:rsidR="00880116" w:rsidRPr="00880116">
        <w:t xml:space="preserve">The Commission </w:t>
      </w:r>
      <w:r w:rsidR="002B760E">
        <w:t>can</w:t>
      </w:r>
      <w:r w:rsidR="00880116" w:rsidRPr="00880116">
        <w:t xml:space="preserve"> use interference limits (for example, a field strength level </w:t>
      </w:r>
      <w:r w:rsidR="008D043B">
        <w:t xml:space="preserve">in the reallocated band </w:t>
      </w:r>
      <w:r w:rsidR="00880116" w:rsidRPr="00880116">
        <w:t>exceeded at less than 5% of places and times) to balance interests between transmitters in one band and receiving systems in others. It can invite parties to propose and justify interference level</w:t>
      </w:r>
      <w:r w:rsidR="002B760E">
        <w:t>s</w:t>
      </w:r>
      <w:r w:rsidR="00880116" w:rsidRPr="00880116">
        <w:t xml:space="preserve">, or it can propose </w:t>
      </w:r>
      <w:r w:rsidR="002637C7">
        <w:t>its own</w:t>
      </w:r>
      <w:r w:rsidR="00880116" w:rsidRPr="00880116">
        <w:t xml:space="preserve">. The </w:t>
      </w:r>
      <w:r w:rsidR="009A6DFF">
        <w:t xml:space="preserve">parties can bargain about </w:t>
      </w:r>
      <w:r w:rsidR="00880116" w:rsidRPr="00880116">
        <w:t xml:space="preserve">the interference limit rather than falling into arguments about transmit powers and receiver vulnerabilities, disparate perspectives that are difficult to reconcile. The interference limit the Commission eventually chooses </w:t>
      </w:r>
      <w:r w:rsidR="007452F6">
        <w:t xml:space="preserve">would </w:t>
      </w:r>
      <w:r w:rsidR="00880116" w:rsidRPr="00880116">
        <w:t>encapsulate its expectations about the performance of transmitting and receiving systems.</w:t>
      </w:r>
    </w:p>
    <w:p w14:paraId="7D24F621" w14:textId="02A6ABDA" w:rsidR="00880116" w:rsidRPr="00880116" w:rsidRDefault="00880116" w:rsidP="00880116">
      <w:pPr>
        <w:pStyle w:val="BodyDoubleSpIndent"/>
      </w:pPr>
      <w:r w:rsidRPr="00880116">
        <w:t xml:space="preserve">Two parties seeking </w:t>
      </w:r>
      <w:r w:rsidR="000C74EF">
        <w:t xml:space="preserve">a </w:t>
      </w:r>
      <w:r w:rsidRPr="00880116">
        <w:t xml:space="preserve">mutually beneficial ad hoc adjustment of technical rules (perhaps with one compensating the other) would be an even more direct way to pilot the approach. The Commission could suggest that they use an interference limit as the commodity </w:t>
      </w:r>
      <w:r w:rsidR="00C66DF0">
        <w:t>being traded</w:t>
      </w:r>
      <w:r w:rsidRPr="00880116">
        <w:t>. The parties can negotiate the price of an interference level without having to disclose sensitive or confidential information about their systems to each other.</w:t>
      </w:r>
      <w:r w:rsidR="00201057">
        <w:rPr>
          <w:rStyle w:val="FootnoteReference"/>
        </w:rPr>
        <w:footnoteReference w:id="64"/>
      </w:r>
      <w:r w:rsidRPr="00880116">
        <w:t xml:space="preserve"> </w:t>
      </w:r>
    </w:p>
    <w:p w14:paraId="65F31D3A" w14:textId="22147481" w:rsidR="006F4122" w:rsidRDefault="006F4122" w:rsidP="006F4122">
      <w:pPr>
        <w:pStyle w:val="BodyDoubleSpIndent"/>
      </w:pPr>
      <w:r>
        <w:t xml:space="preserve">The Commission </w:t>
      </w:r>
      <w:r w:rsidR="00A84A0F">
        <w:t>c</w:t>
      </w:r>
      <w:r>
        <w:t>ould defer other possible uses of interference limits as well the use of harm claim thresholds until it has learned from this and perhaps subsequent pilots.</w:t>
      </w:r>
      <w:r>
        <w:rPr>
          <w:rStyle w:val="FootnoteReference"/>
        </w:rPr>
        <w:footnoteReference w:id="65"/>
      </w:r>
      <w:r>
        <w:t xml:space="preserve"> Pilots would lay the groundwork for more ambitious implementation of RF environment approaches, such as Prof. Peha</w:t>
      </w:r>
      <w:r w:rsidR="003114AC">
        <w:t>’</w:t>
      </w:r>
      <w:r>
        <w:t xml:space="preserve">s proposal that for five years, </w:t>
      </w:r>
      <w:r w:rsidR="003114AC">
        <w:t>“</w:t>
      </w:r>
      <w:r>
        <w:t>a</w:t>
      </w:r>
      <w:r w:rsidRPr="00F122C9">
        <w:t>ny NPRM that contemplates a fundamental change in how spectrum will be used in a given band should proactively include a proposal to use a harm claim threshold in that band, and possibly adjacent bands as appropriate</w:t>
      </w:r>
      <w:r>
        <w:t>.</w:t>
      </w:r>
      <w:r w:rsidR="003114AC">
        <w:t>”</w:t>
      </w:r>
      <w:r>
        <w:rPr>
          <w:rStyle w:val="FootnoteReference"/>
        </w:rPr>
        <w:footnoteReference w:id="66"/>
      </w:r>
    </w:p>
    <w:p w14:paraId="7C840AE7" w14:textId="69275332" w:rsidR="003566D4" w:rsidRDefault="003566D4" w:rsidP="00484DF8">
      <w:pPr>
        <w:pStyle w:val="Heading3"/>
      </w:pPr>
      <w:bookmarkStart w:id="41" w:name="_Toc109725066"/>
      <w:r>
        <w:lastRenderedPageBreak/>
        <w:t xml:space="preserve">Other proposals in the record can </w:t>
      </w:r>
      <w:r w:rsidR="00321F72">
        <w:t xml:space="preserve">support the use of </w:t>
      </w:r>
      <w:r w:rsidR="00B773A3">
        <w:t>interference limits</w:t>
      </w:r>
      <w:bookmarkEnd w:id="41"/>
      <w:r w:rsidR="00E03AA5">
        <w:t xml:space="preserve"> </w:t>
      </w:r>
    </w:p>
    <w:p w14:paraId="78D9E08D" w14:textId="743A2131" w:rsidR="005B12D5" w:rsidRDefault="00177353" w:rsidP="00310ABB">
      <w:pPr>
        <w:pStyle w:val="BodyDoubleSpIndent"/>
      </w:pPr>
      <w:r>
        <w:t xml:space="preserve">Proposals in the record that could contribute to the implementation and refinement of interference limits and harm claim thresholds include </w:t>
      </w:r>
      <w:r w:rsidR="00941C3F">
        <w:t xml:space="preserve">(1) </w:t>
      </w:r>
      <w:r>
        <w:t>e</w:t>
      </w:r>
      <w:r w:rsidR="00310ABB">
        <w:t xml:space="preserve">stablishing a framework for the use of </w:t>
      </w:r>
      <w:r w:rsidR="00261FEE">
        <w:t xml:space="preserve">probabilistic </w:t>
      </w:r>
      <w:r w:rsidR="00310ABB">
        <w:t xml:space="preserve">simulations, </w:t>
      </w:r>
      <w:r w:rsidR="00941C3F">
        <w:t xml:space="preserve">(2) </w:t>
      </w:r>
      <w:r w:rsidR="008B293D">
        <w:t xml:space="preserve">using negotiated rulemaking to develop interference limits, </w:t>
      </w:r>
      <w:r w:rsidR="00941C3F">
        <w:t xml:space="preserve">(3) </w:t>
      </w:r>
      <w:r w:rsidR="00310ABB">
        <w:t xml:space="preserve">using </w:t>
      </w:r>
      <w:r w:rsidR="00261FEE">
        <w:t xml:space="preserve">an emulator </w:t>
      </w:r>
      <w:r w:rsidR="00310ABB">
        <w:t xml:space="preserve">to examine the market effects of using HCTs, and </w:t>
      </w:r>
      <w:r w:rsidR="00941C3F">
        <w:t xml:space="preserve">(4) </w:t>
      </w:r>
      <w:r w:rsidR="00781A0D">
        <w:t>a standard/reasonable receiver approach</w:t>
      </w:r>
      <w:r w:rsidR="00874D4D">
        <w:t>.</w:t>
      </w:r>
    </w:p>
    <w:p w14:paraId="7D29D8E9" w14:textId="449E264E" w:rsidR="00874D4D" w:rsidRDefault="008B293D" w:rsidP="00874D4D">
      <w:pPr>
        <w:pStyle w:val="BodyDoubleSpIndent"/>
      </w:pPr>
      <w:r>
        <w:t xml:space="preserve">CTIA makes the </w:t>
      </w:r>
      <w:r w:rsidR="00A60138">
        <w:t>important</w:t>
      </w:r>
      <w:r>
        <w:t xml:space="preserve"> observation that </w:t>
      </w:r>
      <w:r w:rsidR="003114AC">
        <w:t>“</w:t>
      </w:r>
      <w:r>
        <w:t xml:space="preserve">other Federal agencies </w:t>
      </w:r>
      <w:r w:rsidR="003114AC">
        <w:t>. .</w:t>
      </w:r>
      <w:r>
        <w:t> . have instituted specific principles for how these types of probabilistic analysis techniques should be conducted,</w:t>
      </w:r>
      <w:r w:rsidR="003114AC">
        <w:t>”</w:t>
      </w:r>
      <w:r>
        <w:t xml:space="preserve"> and that </w:t>
      </w:r>
      <w:r w:rsidR="003114AC">
        <w:t>“</w:t>
      </w:r>
      <w:r>
        <w:t>the Commission</w:t>
      </w:r>
      <w:r w:rsidR="003114AC">
        <w:t>’</w:t>
      </w:r>
      <w:r>
        <w:t>s international counterparts routinely rely on these types of simulations.</w:t>
      </w:r>
      <w:r w:rsidR="003114AC">
        <w:t>”</w:t>
      </w:r>
      <w:r>
        <w:rPr>
          <w:rStyle w:val="FootnoteReference"/>
        </w:rPr>
        <w:footnoteReference w:id="67"/>
      </w:r>
      <w:r>
        <w:t xml:space="preserve"> I support CTIA</w:t>
      </w:r>
      <w:r w:rsidR="003114AC">
        <w:t>’</w:t>
      </w:r>
      <w:r>
        <w:t xml:space="preserve">s recommendation that </w:t>
      </w:r>
      <w:r w:rsidR="003114AC">
        <w:t>“</w:t>
      </w:r>
      <w:r>
        <w:t>the Commission initiate a public discussion about the use of simulations and the framework that could be established to ensure they are utilized in a consistent and accurate manner.</w:t>
      </w:r>
      <w:r w:rsidR="003114AC">
        <w:t>”</w:t>
      </w:r>
      <w:r>
        <w:rPr>
          <w:rStyle w:val="FootnoteReference"/>
        </w:rPr>
        <w:footnoteReference w:id="68"/>
      </w:r>
      <w:r w:rsidR="00874D4D">
        <w:t xml:space="preserve"> </w:t>
      </w:r>
    </w:p>
    <w:p w14:paraId="4C4822BB" w14:textId="56EEB5E9" w:rsidR="00137D24" w:rsidRPr="00137D24" w:rsidRDefault="00ED1195" w:rsidP="00272B4F">
      <w:pPr>
        <w:pStyle w:val="BodyDoubleSpIndent"/>
      </w:pPr>
      <w:r>
        <w:t xml:space="preserve">There is support in the record for involving all affected </w:t>
      </w:r>
      <w:r w:rsidR="000C47A0">
        <w:t>stakeholders in deliberations</w:t>
      </w:r>
      <w:r>
        <w:t>, and the use of interference limits should certainly follow this path.</w:t>
      </w:r>
      <w:r>
        <w:rPr>
          <w:rStyle w:val="FootnoteReference"/>
        </w:rPr>
        <w:footnoteReference w:id="69"/>
      </w:r>
      <w:r>
        <w:t xml:space="preserve"> </w:t>
      </w:r>
      <w:r w:rsidR="00137D24">
        <w:t>A</w:t>
      </w:r>
      <w:r w:rsidR="00137D24" w:rsidRPr="00137D24">
        <w:t xml:space="preserve"> pilot </w:t>
      </w:r>
      <w:r w:rsidR="007F75EB">
        <w:t xml:space="preserve">of interference limits </w:t>
      </w:r>
      <w:r w:rsidR="00137D24" w:rsidRPr="00137D24">
        <w:t xml:space="preserve">may be well suited to </w:t>
      </w:r>
      <w:r w:rsidR="0019526F">
        <w:t>n</w:t>
      </w:r>
      <w:r w:rsidR="00137D24" w:rsidRPr="00137D24">
        <w:t xml:space="preserve">egotiated </w:t>
      </w:r>
      <w:r w:rsidR="0019526F">
        <w:t>r</w:t>
      </w:r>
      <w:r w:rsidR="00137D24" w:rsidRPr="00137D24">
        <w:t xml:space="preserve">ulemaking, an enforceable collaborative approach that arose in the 1980s to address challenges </w:t>
      </w:r>
      <w:r w:rsidR="008D27E3" w:rsidRPr="00137D24">
        <w:t xml:space="preserve">similar </w:t>
      </w:r>
      <w:r w:rsidR="00137D24" w:rsidRPr="00137D24">
        <w:t xml:space="preserve">to those facing </w:t>
      </w:r>
      <w:r w:rsidR="008D27E3">
        <w:t xml:space="preserve">the </w:t>
      </w:r>
      <w:r w:rsidR="00137D24" w:rsidRPr="00137D24">
        <w:t>Commission</w:t>
      </w:r>
      <w:r w:rsidR="008B6371">
        <w:t xml:space="preserve"> today.</w:t>
      </w:r>
      <w:r w:rsidR="0019526F">
        <w:rPr>
          <w:rStyle w:val="FootnoteReference"/>
        </w:rPr>
        <w:footnoteReference w:id="70"/>
      </w:r>
      <w:r w:rsidR="00137D24" w:rsidRPr="00137D24">
        <w:t xml:space="preserve"> </w:t>
      </w:r>
      <w:r w:rsidR="005F36B0" w:rsidRPr="00137D24">
        <w:t xml:space="preserve">Negotiated rulemaking </w:t>
      </w:r>
      <w:r w:rsidR="00E1705F">
        <w:t xml:space="preserve">has </w:t>
      </w:r>
      <w:r w:rsidR="00E1705F" w:rsidRPr="00137D24">
        <w:t xml:space="preserve">more formality and accountability </w:t>
      </w:r>
      <w:r w:rsidR="00E1705F">
        <w:t xml:space="preserve">than </w:t>
      </w:r>
      <w:r w:rsidR="005F36B0" w:rsidRPr="00137D24">
        <w:t>many multi-stakeholder activities. This may be particularly attractive in developing interference limits and</w:t>
      </w:r>
      <w:r w:rsidR="002B2198">
        <w:t>, eventually,</w:t>
      </w:r>
      <w:r w:rsidR="005F36B0" w:rsidRPr="00137D24">
        <w:t xml:space="preserve"> setting HCTs.</w:t>
      </w:r>
      <w:r w:rsidR="005F36B0">
        <w:rPr>
          <w:rStyle w:val="FootnoteReference"/>
        </w:rPr>
        <w:footnoteReference w:id="71"/>
      </w:r>
      <w:r w:rsidR="00272B4F">
        <w:t xml:space="preserve"> </w:t>
      </w:r>
      <w:r w:rsidR="00137D24" w:rsidRPr="00137D24">
        <w:t xml:space="preserve">A pilot of interference limits is likely to meet the statutory test that a negotiated rulemaking will </w:t>
      </w:r>
      <w:r w:rsidR="00137D24" w:rsidRPr="00137D24">
        <w:lastRenderedPageBreak/>
        <w:t>be in the public interest.</w:t>
      </w:r>
      <w:r w:rsidR="00C42325">
        <w:rPr>
          <w:rStyle w:val="FootnoteReference"/>
        </w:rPr>
        <w:footnoteReference w:id="72"/>
      </w:r>
      <w:r w:rsidR="00137D24" w:rsidRPr="00137D24">
        <w:t xml:space="preserve"> Limited scope will limit the number of parties, increasing the likelihood that a representative committee can be convened and will reach a consensus.</w:t>
      </w:r>
      <w:r w:rsidR="00C42325">
        <w:rPr>
          <w:rStyle w:val="FootnoteReference"/>
        </w:rPr>
        <w:footnoteReference w:id="73"/>
      </w:r>
      <w:r w:rsidR="00C42325">
        <w:t xml:space="preserve"> </w:t>
      </w:r>
      <w:r w:rsidR="00137D24" w:rsidRPr="00137D24">
        <w:t>Even if the Commission does not choose to initiate a negotiated rulemaking, the best practices developed by</w:t>
      </w:r>
      <w:r w:rsidR="00B16AC8">
        <w:t xml:space="preserve"> the </w:t>
      </w:r>
      <w:r w:rsidR="00B16AC8" w:rsidRPr="00B16AC8">
        <w:t>Administrative Conference of the United States</w:t>
      </w:r>
      <w:r w:rsidR="00137D24" w:rsidRPr="00137D24">
        <w:t xml:space="preserve"> </w:t>
      </w:r>
      <w:r w:rsidR="00B16AC8">
        <w:t>(</w:t>
      </w:r>
      <w:r w:rsidR="00137D24" w:rsidRPr="00137D24">
        <w:t>ACUS</w:t>
      </w:r>
      <w:r w:rsidR="00B16AC8">
        <w:t>)</w:t>
      </w:r>
      <w:r w:rsidR="00137D24" w:rsidRPr="00137D24">
        <w:t xml:space="preserve"> could inform the formation of multi-stakeholder groups.</w:t>
      </w:r>
      <w:r w:rsidR="00176439">
        <w:rPr>
          <w:rStyle w:val="FootnoteReference"/>
        </w:rPr>
        <w:footnoteReference w:id="74"/>
      </w:r>
    </w:p>
    <w:p w14:paraId="57608A7F" w14:textId="193B7078" w:rsidR="00ED1195" w:rsidRDefault="00ED1195" w:rsidP="00281C96">
      <w:pPr>
        <w:pStyle w:val="BodyDoubleSpIndent"/>
      </w:pPr>
      <w:r>
        <w:t xml:space="preserve">A pilot of interference limits would also provide a concrete </w:t>
      </w:r>
      <w:r w:rsidR="00C77B6C">
        <w:t xml:space="preserve">test </w:t>
      </w:r>
      <w:r>
        <w:t>case for Drs. Bykowsky &amp; Sharkey</w:t>
      </w:r>
      <w:r w:rsidR="003114AC">
        <w:t>’</w:t>
      </w:r>
      <w:r>
        <w:t xml:space="preserve">s </w:t>
      </w:r>
      <w:r w:rsidR="00DE2A31">
        <w:t xml:space="preserve">astute </w:t>
      </w:r>
      <w:r>
        <w:t xml:space="preserve">proposal that the Commission </w:t>
      </w:r>
      <w:r w:rsidR="003114AC">
        <w:t>“</w:t>
      </w:r>
      <w:r>
        <w:t>allocate the necessary funds to scientifically examine, using advance [sic] engineering and economic techniques, the efficiency enhancing effects of an interference limit.</w:t>
      </w:r>
      <w:r w:rsidR="003114AC">
        <w:t>”</w:t>
      </w:r>
      <w:r>
        <w:rPr>
          <w:rStyle w:val="FootnoteReference"/>
        </w:rPr>
        <w:footnoteReference w:id="75"/>
      </w:r>
      <w:r>
        <w:t xml:space="preserve"> </w:t>
      </w:r>
    </w:p>
    <w:p w14:paraId="0716F245" w14:textId="2C566554" w:rsidR="00F30728" w:rsidRDefault="00F30728" w:rsidP="00573F96">
      <w:pPr>
        <w:pStyle w:val="BodyDoubleSpIndent"/>
      </w:pPr>
      <w:r>
        <w:t xml:space="preserve">The </w:t>
      </w:r>
      <w:r w:rsidR="00CA610E">
        <w:t xml:space="preserve">innovative </w:t>
      </w:r>
      <w:r>
        <w:t>proposals by Public Knowledge and</w:t>
      </w:r>
      <w:r w:rsidR="00336298">
        <w:t xml:space="preserve"> the</w:t>
      </w:r>
      <w:r>
        <w:t xml:space="preserve"> Open Technology Institute at New America (PK/OTI) and </w:t>
      </w:r>
      <w:r w:rsidR="002A10F0">
        <w:t xml:space="preserve">by </w:t>
      </w:r>
      <w:r>
        <w:t xml:space="preserve">NCTA about </w:t>
      </w:r>
      <w:r w:rsidR="003114AC">
        <w:t>“</w:t>
      </w:r>
      <w:r>
        <w:t>standard</w:t>
      </w:r>
      <w:r w:rsidR="003114AC">
        <w:t>”</w:t>
      </w:r>
      <w:r>
        <w:t xml:space="preserve"> </w:t>
      </w:r>
      <w:r w:rsidR="00241D56">
        <w:t>and</w:t>
      </w:r>
      <w:r>
        <w:t xml:space="preserve"> </w:t>
      </w:r>
      <w:r w:rsidR="003114AC">
        <w:t>“</w:t>
      </w:r>
      <w:r>
        <w:t>reasonable</w:t>
      </w:r>
      <w:r w:rsidR="003114AC">
        <w:t>”</w:t>
      </w:r>
      <w:r>
        <w:t xml:space="preserve"> receivers, respectively, resonate with the goals and philosophy underlying the interference limits/harm claim thresholds approach.</w:t>
      </w:r>
      <w:r>
        <w:rPr>
          <w:rStyle w:val="FootnoteReference"/>
        </w:rPr>
        <w:footnoteReference w:id="76"/>
      </w:r>
      <w:r>
        <w:t xml:space="preserve"> Both proposals</w:t>
      </w:r>
      <w:r w:rsidR="00FF6FA8">
        <w:t xml:space="preserve"> seem intended for use in </w:t>
      </w:r>
      <w:r>
        <w:t xml:space="preserve">the guidance context rather than </w:t>
      </w:r>
      <w:r w:rsidR="00FF6FA8">
        <w:t xml:space="preserve">in </w:t>
      </w:r>
      <w:r>
        <w:t xml:space="preserve">rules, the same context as interference limits rather than harm claim thresholds. The difference is that </w:t>
      </w:r>
      <w:r w:rsidR="009F56E0">
        <w:t xml:space="preserve">they </w:t>
      </w:r>
      <w:r w:rsidR="00241D56">
        <w:t>focus on</w:t>
      </w:r>
      <w:r>
        <w:t xml:space="preserve"> radio equipment rather than the RF environment.</w:t>
      </w:r>
      <w:r w:rsidR="008416D3">
        <w:rPr>
          <w:rStyle w:val="FootnoteReference"/>
        </w:rPr>
        <w:footnoteReference w:id="77"/>
      </w:r>
    </w:p>
    <w:p w14:paraId="1658FB37" w14:textId="6E2E99F0" w:rsidR="00F30728" w:rsidRDefault="00F30728" w:rsidP="00573F96">
      <w:pPr>
        <w:pStyle w:val="BodyDoubleSpIndent"/>
      </w:pPr>
      <w:r>
        <w:lastRenderedPageBreak/>
        <w:t xml:space="preserve">If adopted, </w:t>
      </w:r>
      <w:r w:rsidR="00241D56">
        <w:t>such</w:t>
      </w:r>
      <w:r>
        <w:t xml:space="preserve"> proposals </w:t>
      </w:r>
      <w:r w:rsidR="00241D56">
        <w:t>could</w:t>
      </w:r>
      <w:r w:rsidRPr="005012B3">
        <w:t xml:space="preserve"> test </w:t>
      </w:r>
      <w:r>
        <w:t xml:space="preserve">key </w:t>
      </w:r>
      <w:r w:rsidR="009F56E0">
        <w:t>ideas</w:t>
      </w:r>
      <w:r>
        <w:t xml:space="preserve"> of interference limits—notably, providing effective notice and delegating design/deployment decisions—</w:t>
      </w:r>
      <w:r w:rsidRPr="005012B3">
        <w:t xml:space="preserve">without </w:t>
      </w:r>
      <w:r>
        <w:t xml:space="preserve">explicitly characterizing </w:t>
      </w:r>
      <w:r w:rsidR="00333423">
        <w:t>the</w:t>
      </w:r>
      <w:r>
        <w:t xml:space="preserve"> </w:t>
      </w:r>
      <w:r w:rsidRPr="005012B3">
        <w:t>RF environment</w:t>
      </w:r>
      <w:r>
        <w:t xml:space="preserve"> in which receiving systems should operate. Just like the RF environment approach, both proposals </w:t>
      </w:r>
      <w:r w:rsidR="00D55A6A">
        <w:t xml:space="preserve">provide effective notice of planned changes and </w:t>
      </w:r>
      <w:r>
        <w:t>leave decisions about receiver design to those who deploy systems.</w:t>
      </w:r>
      <w:r>
        <w:rPr>
          <w:rStyle w:val="FootnoteReference"/>
        </w:rPr>
        <w:footnoteReference w:id="78"/>
      </w:r>
      <w:r>
        <w:t xml:space="preserve"> Just like declaring an interference limit, declaring standard/reasonable receiver performance facilitates rulemaking by incentivizing affected parties to volunteer information.</w:t>
      </w:r>
      <w:r>
        <w:rPr>
          <w:rStyle w:val="FootnoteReference"/>
        </w:rPr>
        <w:footnoteReference w:id="79"/>
      </w:r>
      <w:r>
        <w:t xml:space="preserve"> And again in the same vein, these proposals </w:t>
      </w:r>
      <w:r w:rsidR="00241D56">
        <w:t>encourage interference immunity</w:t>
      </w:r>
      <w:r>
        <w:t xml:space="preserve"> without using mandates.</w:t>
      </w:r>
      <w:r>
        <w:rPr>
          <w:rStyle w:val="FootnoteReference"/>
        </w:rPr>
        <w:footnoteReference w:id="80"/>
      </w:r>
    </w:p>
    <w:p w14:paraId="0F66FD48" w14:textId="3717F817" w:rsidR="00F30728" w:rsidRDefault="006659B0" w:rsidP="00573F96">
      <w:pPr>
        <w:pStyle w:val="BodyDoubleSpIndent"/>
      </w:pPr>
      <w:r>
        <w:t>T</w:t>
      </w:r>
      <w:r w:rsidR="00F30728">
        <w:t>he standard/reasonable receiver approach faces its fair share of challenges</w:t>
      </w:r>
      <w:r w:rsidR="00116D90">
        <w:t xml:space="preserve">, like any </w:t>
      </w:r>
      <w:r w:rsidR="0032052E">
        <w:t xml:space="preserve">policy </w:t>
      </w:r>
      <w:r w:rsidR="00116D90">
        <w:t>method</w:t>
      </w:r>
      <w:r w:rsidR="00F30728">
        <w:t xml:space="preserve">. One is that there is no such thing as a standard receiver since </w:t>
      </w:r>
      <w:r w:rsidR="006B4FEE">
        <w:t xml:space="preserve">different </w:t>
      </w:r>
      <w:r w:rsidR="00F30728">
        <w:t>whole-system design trade-offs can lead to the same overall performance with different receiver specifications</w:t>
      </w:r>
      <w:r w:rsidR="00241D56">
        <w:t xml:space="preserve">. </w:t>
      </w:r>
      <w:r w:rsidR="007C456B">
        <w:t xml:space="preserve">Identifying one approach as </w:t>
      </w:r>
      <w:r w:rsidR="003114AC">
        <w:t>“</w:t>
      </w:r>
      <w:r w:rsidR="007C456B">
        <w:t>standard</w:t>
      </w:r>
      <w:r w:rsidR="003114AC">
        <w:t>”</w:t>
      </w:r>
      <w:r w:rsidR="007C456B">
        <w:t xml:space="preserve"> or </w:t>
      </w:r>
      <w:r w:rsidR="003114AC">
        <w:t>“</w:t>
      </w:r>
      <w:r w:rsidR="007C456B">
        <w:t>reasonable</w:t>
      </w:r>
      <w:r w:rsidR="003114AC">
        <w:t>”</w:t>
      </w:r>
      <w:r w:rsidR="007C456B">
        <w:t xml:space="preserve"> would </w:t>
      </w:r>
      <w:r w:rsidR="00EC5F63">
        <w:t xml:space="preserve">require the Commission </w:t>
      </w:r>
      <w:r w:rsidR="007C456B">
        <w:t xml:space="preserve">to choose between </w:t>
      </w:r>
      <w:r w:rsidR="00EC5F63">
        <w:t>designs and business models</w:t>
      </w:r>
      <w:r w:rsidR="007C456B">
        <w:t>.</w:t>
      </w:r>
      <w:r w:rsidR="00F30728">
        <w:rPr>
          <w:rStyle w:val="FootnoteReference"/>
        </w:rPr>
        <w:footnoteReference w:id="81"/>
      </w:r>
      <w:r w:rsidR="00F30728">
        <w:t xml:space="preserve"> </w:t>
      </w:r>
      <w:r w:rsidR="003454C1">
        <w:t>Next, e</w:t>
      </w:r>
      <w:r w:rsidR="00F30728">
        <w:t>ven if only one receiver type were designated as standard/reasonable, the Commission would still have to define many parameter values.</w:t>
      </w:r>
      <w:r w:rsidR="00F30728">
        <w:rPr>
          <w:rStyle w:val="FootnoteReference"/>
        </w:rPr>
        <w:footnoteReference w:id="82"/>
      </w:r>
      <w:r w:rsidR="009258D9">
        <w:t xml:space="preserve"> </w:t>
      </w:r>
      <w:r w:rsidR="00BF5CEB">
        <w:lastRenderedPageBreak/>
        <w:t>Finally</w:t>
      </w:r>
      <w:r w:rsidR="00F30728">
        <w:t xml:space="preserve">, </w:t>
      </w:r>
      <w:r w:rsidR="00B60682">
        <w:t xml:space="preserve">this is an </w:t>
      </w:r>
      <w:r w:rsidR="00F30728">
        <w:t>equipment approach</w:t>
      </w:r>
      <w:r w:rsidR="00C718EE">
        <w:t xml:space="preserve"> and </w:t>
      </w:r>
      <w:r w:rsidR="00F30728">
        <w:t>faces the challenge that</w:t>
      </w:r>
      <w:r w:rsidR="004369BB">
        <w:t xml:space="preserve"> relating </w:t>
      </w:r>
      <w:r w:rsidR="00825745">
        <w:t>receiver requirements to</w:t>
      </w:r>
      <w:r w:rsidR="00F30728">
        <w:t xml:space="preserve"> </w:t>
      </w:r>
      <w:r w:rsidR="00F30728" w:rsidRPr="005C1C62">
        <w:t xml:space="preserve">transmitter </w:t>
      </w:r>
      <w:r w:rsidR="00F30728">
        <w:t xml:space="preserve">rules </w:t>
      </w:r>
      <w:r w:rsidR="003943F5">
        <w:t xml:space="preserve">requires a long </w:t>
      </w:r>
      <w:r w:rsidR="009741A4">
        <w:t>chain of assumptions</w:t>
      </w:r>
      <w:r w:rsidR="00F30728" w:rsidRPr="005C1C62">
        <w:t>.</w:t>
      </w:r>
      <w:r w:rsidR="0062066E">
        <w:rPr>
          <w:rStyle w:val="FootnoteReference"/>
        </w:rPr>
        <w:footnoteReference w:id="83"/>
      </w:r>
    </w:p>
    <w:p w14:paraId="2DAE0EEB" w14:textId="77777777" w:rsidR="00ED1195" w:rsidRDefault="00ED1195" w:rsidP="00DB50E1">
      <w:pPr>
        <w:pStyle w:val="Heading2"/>
      </w:pPr>
      <w:bookmarkStart w:id="42" w:name="_Toc109725067"/>
      <w:r>
        <w:t>Conclusions</w:t>
      </w:r>
      <w:bookmarkEnd w:id="42"/>
    </w:p>
    <w:p w14:paraId="32C7360B" w14:textId="4EDC5143" w:rsidR="00EC4350" w:rsidRDefault="00942B71" w:rsidP="007E670B">
      <w:pPr>
        <w:pStyle w:val="BodyDoubleSpIndent"/>
      </w:pPr>
      <w:r>
        <w:t xml:space="preserve">The spectrum community has responded </w:t>
      </w:r>
      <w:r w:rsidR="00A20F22">
        <w:t xml:space="preserve">extensively and </w:t>
      </w:r>
      <w:r>
        <w:t xml:space="preserve">thoughtfully </w:t>
      </w:r>
      <w:r w:rsidR="00376A55">
        <w:t xml:space="preserve">to </w:t>
      </w:r>
      <w:r>
        <w:t xml:space="preserve">the </w:t>
      </w:r>
      <w:r w:rsidRPr="00942B71">
        <w:rPr>
          <w:i/>
          <w:iCs/>
        </w:rPr>
        <w:t>NOI</w:t>
      </w:r>
      <w:r>
        <w:t>.</w:t>
      </w:r>
      <w:r w:rsidR="00376A55">
        <w:t xml:space="preserve"> </w:t>
      </w:r>
      <w:r w:rsidR="00ED1195">
        <w:t xml:space="preserve">The Commission </w:t>
      </w:r>
      <w:r w:rsidR="00FE5079">
        <w:t xml:space="preserve">should now </w:t>
      </w:r>
      <w:r w:rsidR="00FE5079" w:rsidRPr="00FE5079">
        <w:t>includ</w:t>
      </w:r>
      <w:r w:rsidR="00A20F22">
        <w:t>e</w:t>
      </w:r>
      <w:r w:rsidR="00FE5079" w:rsidRPr="00FE5079">
        <w:t xml:space="preserve"> receiving systems in the spectrum management calculus</w:t>
      </w:r>
      <w:r w:rsidR="00FE5079">
        <w:t xml:space="preserve"> by </w:t>
      </w:r>
      <w:r w:rsidR="00ED1195">
        <w:t xml:space="preserve">issuing a policy statement </w:t>
      </w:r>
      <w:r w:rsidR="007F5F21">
        <w:t xml:space="preserve">that </w:t>
      </w:r>
      <w:r w:rsidR="002B37D6">
        <w:t>describes</w:t>
      </w:r>
      <w:r w:rsidR="007F5F21">
        <w:t xml:space="preserve"> the principles </w:t>
      </w:r>
      <w:r w:rsidR="002B37D6">
        <w:t xml:space="preserve">it will use to </w:t>
      </w:r>
      <w:r w:rsidR="007F5F21">
        <w:t>assess spectrum coexistence</w:t>
      </w:r>
      <w:r w:rsidR="00A20F22">
        <w:t xml:space="preserve">. It should </w:t>
      </w:r>
      <w:r w:rsidR="007F5F21">
        <w:t xml:space="preserve">then </w:t>
      </w:r>
      <w:r w:rsidR="00ED1195">
        <w:t xml:space="preserve">pilot interference limits in a limited-scope rulemaking. I look forward to </w:t>
      </w:r>
      <w:r w:rsidR="007F5F21">
        <w:t>further progress</w:t>
      </w:r>
      <w:r w:rsidR="00B329B8">
        <w:t xml:space="preserve"> </w:t>
      </w:r>
      <w:r w:rsidR="007F5F21">
        <w:t>on this important topic</w:t>
      </w:r>
      <w:r w:rsidR="00376A55">
        <w:t>.</w:t>
      </w:r>
    </w:p>
    <w:sectPr w:rsidR="00EC4350" w:rsidSect="00DD2D85">
      <w:footerReference w:type="default" r:id="rId9"/>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91A8" w14:textId="77777777" w:rsidR="00864A98" w:rsidRDefault="00864A98" w:rsidP="00D6362F">
      <w:r>
        <w:separator/>
      </w:r>
    </w:p>
  </w:endnote>
  <w:endnote w:type="continuationSeparator" w:id="0">
    <w:p w14:paraId="019BA608" w14:textId="77777777" w:rsidR="00864A98" w:rsidRDefault="00864A98" w:rsidP="00D6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A27E" w14:textId="1A036942" w:rsidR="00D6362F" w:rsidRDefault="00D6362F">
    <w:pPr>
      <w:pStyle w:val="Footer"/>
    </w:pPr>
    <w:r>
      <w:tab/>
    </w:r>
    <w:r>
      <w:fldChar w:fldCharType="begin"/>
    </w:r>
    <w:r>
      <w:instrText xml:space="preserve"> PAGE  \* roman  \* MERGEFORMAT </w:instrText>
    </w:r>
    <w:r>
      <w:fldChar w:fldCharType="separate"/>
    </w:r>
    <w:r>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326F" w14:textId="1CAE435E" w:rsidR="00DD2D85" w:rsidRDefault="00DD2D85">
    <w:pPr>
      <w:pStyle w:val="Footer"/>
    </w:pPr>
    <w:r>
      <w:tab/>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123E" w14:textId="77777777" w:rsidR="00864A98" w:rsidRDefault="00864A98" w:rsidP="00D6362F">
      <w:r>
        <w:separator/>
      </w:r>
    </w:p>
  </w:footnote>
  <w:footnote w:type="continuationSeparator" w:id="0">
    <w:p w14:paraId="7267ED51" w14:textId="77777777" w:rsidR="00864A98" w:rsidRDefault="00864A98" w:rsidP="00D6362F">
      <w:r>
        <w:continuationSeparator/>
      </w:r>
    </w:p>
  </w:footnote>
  <w:footnote w:id="1">
    <w:p w14:paraId="19F6643F" w14:textId="7EFD9E65" w:rsidR="00924973" w:rsidRDefault="00924973" w:rsidP="00924973">
      <w:pPr>
        <w:pStyle w:val="FootnoteText"/>
      </w:pPr>
      <w:bookmarkStart w:id="1" w:name="_Ref109041340"/>
      <w:r>
        <w:rPr>
          <w:rStyle w:val="FootnoteReference"/>
        </w:rPr>
        <w:footnoteRef/>
      </w:r>
      <w:r>
        <w:t xml:space="preserve"> </w:t>
      </w:r>
      <w:r w:rsidR="00C56555">
        <w:t xml:space="preserve">I thank </w:t>
      </w:r>
      <w:r w:rsidR="006C1477" w:rsidRPr="006C1477">
        <w:t>Prof. Dale Hatfield</w:t>
      </w:r>
      <w:r w:rsidR="00780380">
        <w:t xml:space="preserve">, </w:t>
      </w:r>
      <w:r w:rsidR="00482B2F" w:rsidRPr="006C1477">
        <w:t>Dr. Susan Tonkin</w:t>
      </w:r>
      <w:r w:rsidR="00482B2F">
        <w:t xml:space="preserve">, </w:t>
      </w:r>
      <w:r w:rsidR="00482B2F" w:rsidRPr="006C1477">
        <w:t>Prasant</w:t>
      </w:r>
      <w:r w:rsidR="00482B2F">
        <w:t>h</w:t>
      </w:r>
      <w:r w:rsidR="00482B2F" w:rsidRPr="006C1477">
        <w:t xml:space="preserve"> Prahladan, </w:t>
      </w:r>
      <w:r w:rsidR="00482B2F">
        <w:t xml:space="preserve">and </w:t>
      </w:r>
      <w:r w:rsidR="006C1477" w:rsidRPr="006C1477">
        <w:t xml:space="preserve">Dr. Janne </w:t>
      </w:r>
      <w:r w:rsidR="002A72D5">
        <w:t>Riihijärvi</w:t>
      </w:r>
      <w:r w:rsidR="006C1477" w:rsidRPr="006C1477">
        <w:t xml:space="preserve"> </w:t>
      </w:r>
      <w:r w:rsidR="00760525">
        <w:t>for their help in preparing these comments</w:t>
      </w:r>
      <w:r w:rsidR="006C1477" w:rsidRPr="006C1477">
        <w:t>.</w:t>
      </w:r>
      <w:r w:rsidR="00780380">
        <w:t xml:space="preserve"> </w:t>
      </w:r>
      <w:bookmarkEnd w:id="1"/>
    </w:p>
  </w:footnote>
  <w:footnote w:id="2">
    <w:p w14:paraId="625CE4E4" w14:textId="0607B797" w:rsidR="00620587" w:rsidRDefault="00620587" w:rsidP="00620587">
      <w:pPr>
        <w:pStyle w:val="FootnoteText"/>
      </w:pPr>
      <w:r>
        <w:rPr>
          <w:rStyle w:val="FootnoteReference"/>
        </w:rPr>
        <w:footnoteRef/>
      </w:r>
      <w:r>
        <w:t xml:space="preserve"> </w:t>
      </w:r>
      <w:r w:rsidRPr="009138C4">
        <w:rPr>
          <w:bCs/>
          <w:i/>
          <w:iCs/>
        </w:rPr>
        <w:t>Promoting Efficient Use of Spectrum through Improved Receiver Interference Immunity Performance</w:t>
      </w:r>
      <w:r w:rsidRPr="009138C4">
        <w:rPr>
          <w:bCs/>
          <w:iCs/>
        </w:rPr>
        <w:t>, ET Docket No. 22-137, FCC 22-29</w:t>
      </w:r>
      <w:r w:rsidR="006936A8">
        <w:rPr>
          <w:bCs/>
          <w:iCs/>
        </w:rPr>
        <w:t xml:space="preserve">, </w:t>
      </w:r>
      <w:r w:rsidR="006936A8" w:rsidRPr="006936A8">
        <w:rPr>
          <w:bCs/>
          <w:iCs/>
        </w:rPr>
        <w:t>87 FR 29248</w:t>
      </w:r>
      <w:r w:rsidRPr="009138C4">
        <w:rPr>
          <w:bCs/>
          <w:iCs/>
        </w:rPr>
        <w:t xml:space="preserve"> (2022) (</w:t>
      </w:r>
      <w:r w:rsidRPr="002C3020">
        <w:rPr>
          <w:bCs/>
          <w:i/>
          <w:iCs/>
        </w:rPr>
        <w:t>NOI</w:t>
      </w:r>
      <w:r w:rsidRPr="009138C4">
        <w:rPr>
          <w:bCs/>
          <w:iCs/>
        </w:rPr>
        <w:t>)</w:t>
      </w:r>
      <w:r w:rsidRPr="009138C4">
        <w:t>.</w:t>
      </w:r>
      <w:r w:rsidRPr="00DD6228">
        <w:t xml:space="preserve"> </w:t>
      </w:r>
      <w:r w:rsidR="000D463C" w:rsidRPr="00147F0D">
        <w:t>Th</w:t>
      </w:r>
      <w:r w:rsidR="000D463C">
        <w:t xml:space="preserve">e views expressed here are mine alone </w:t>
      </w:r>
      <w:r w:rsidR="000D463C" w:rsidRPr="00147F0D">
        <w:t xml:space="preserve">and </w:t>
      </w:r>
      <w:r w:rsidR="000D463C">
        <w:t xml:space="preserve">do not necessarily reflect </w:t>
      </w:r>
      <w:r w:rsidR="00E13969" w:rsidRPr="00147F0D">
        <w:t>the opinion</w:t>
      </w:r>
      <w:r w:rsidR="00E13969">
        <w:t>s</w:t>
      </w:r>
      <w:r w:rsidR="00E13969" w:rsidRPr="00147F0D">
        <w:t xml:space="preserve"> of any institution with which I am affiliated</w:t>
      </w:r>
      <w:r w:rsidR="000D463C" w:rsidRPr="00147F0D">
        <w:t>.</w:t>
      </w:r>
      <w:r w:rsidR="000D463C">
        <w:t xml:space="preserve"> </w:t>
      </w:r>
      <w:r w:rsidRPr="00DD6228">
        <w:t xml:space="preserve">All references to comments are to those </w:t>
      </w:r>
      <w:r>
        <w:t>received</w:t>
      </w:r>
      <w:r w:rsidRPr="00DD6228">
        <w:t xml:space="preserve"> in this proceeding on </w:t>
      </w:r>
      <w:r>
        <w:t>Jun</w:t>
      </w:r>
      <w:r w:rsidR="000D463C">
        <w:t>e</w:t>
      </w:r>
      <w:r>
        <w:t xml:space="preserve"> 26</w:t>
      </w:r>
      <w:r w:rsidR="000D463C">
        <w:t xml:space="preserve"> and</w:t>
      </w:r>
      <w:r>
        <w:t xml:space="preserve"> 27, </w:t>
      </w:r>
      <w:r w:rsidRPr="00DD6228">
        <w:t>202</w:t>
      </w:r>
      <w:r>
        <w:t>2</w:t>
      </w:r>
      <w:r w:rsidRPr="00DD6228">
        <w:t>, unless otherwise specified.</w:t>
      </w:r>
    </w:p>
  </w:footnote>
  <w:footnote w:id="3">
    <w:p w14:paraId="0A34773E" w14:textId="511B03FE" w:rsidR="00CA76C6" w:rsidRDefault="00CA76C6" w:rsidP="00CA76C6">
      <w:pPr>
        <w:pStyle w:val="FootnoteText"/>
      </w:pPr>
      <w:bookmarkStart w:id="6" w:name="_Ref109122717"/>
      <w:r>
        <w:rPr>
          <w:rStyle w:val="FootnoteReference"/>
        </w:rPr>
        <w:footnoteRef/>
      </w:r>
      <w:r>
        <w:t xml:space="preserve"> </w:t>
      </w:r>
      <w:r w:rsidRPr="00DC5FC3">
        <w:rPr>
          <w:i/>
          <w:iCs/>
        </w:rPr>
        <w:t>See</w:t>
      </w:r>
      <w:r>
        <w:rPr>
          <w:i/>
          <w:iCs/>
        </w:rPr>
        <w:t>,</w:t>
      </w:r>
      <w:r w:rsidRPr="00DC5FC3">
        <w:rPr>
          <w:i/>
          <w:iCs/>
        </w:rPr>
        <w:t xml:space="preserve"> e.g.</w:t>
      </w:r>
      <w:r>
        <w:rPr>
          <w:i/>
          <w:iCs/>
        </w:rPr>
        <w:t>,</w:t>
      </w:r>
      <w:r>
        <w:t xml:space="preserve"> 5G Americas comments, 3; AT&amp;T comments, 3; Cisco comments, </w:t>
      </w:r>
      <w:r w:rsidR="001E218B">
        <w:t>11–13</w:t>
      </w:r>
      <w:r>
        <w:t xml:space="preserve">; CTA comments, </w:t>
      </w:r>
      <w:r w:rsidR="008B185C">
        <w:t>13–15</w:t>
      </w:r>
      <w:r>
        <w:t xml:space="preserve">; </w:t>
      </w:r>
      <w:r w:rsidR="004C54C7">
        <w:t xml:space="preserve">De Vries comments, 47–49; </w:t>
      </w:r>
      <w:r>
        <w:t>Ericsson comments, 12</w:t>
      </w:r>
      <w:r w:rsidR="001B1583">
        <w:t>–13</w:t>
      </w:r>
      <w:r>
        <w:t>; Intel comments, 3–8; Lumen comments, 4–</w:t>
      </w:r>
      <w:r w:rsidR="00525442">
        <w:t>7</w:t>
      </w:r>
      <w:r>
        <w:t>; NCTA comments, 6–13; Verizon comments, 9</w:t>
      </w:r>
      <w:r w:rsidR="00EB3742">
        <w:t>–11</w:t>
      </w:r>
      <w:r w:rsidR="009A4F65">
        <w:t>.</w:t>
      </w:r>
      <w:r>
        <w:t xml:space="preserve"> </w:t>
      </w:r>
      <w:r w:rsidR="009A4F65">
        <w:rPr>
          <w:i/>
          <w:iCs/>
        </w:rPr>
        <w:t>C</w:t>
      </w:r>
      <w:r w:rsidR="00163767" w:rsidRPr="00163767">
        <w:rPr>
          <w:i/>
          <w:iCs/>
        </w:rPr>
        <w:t>f</w:t>
      </w:r>
      <w:r w:rsidR="00163767">
        <w:t xml:space="preserve">. CORF comments, </w:t>
      </w:r>
      <w:r w:rsidR="00B60F8E">
        <w:t>17–23</w:t>
      </w:r>
      <w:r w:rsidR="00163767">
        <w:t>;</w:t>
      </w:r>
      <w:r w:rsidR="009A4F65">
        <w:t xml:space="preserve"> Longman</w:t>
      </w:r>
      <w:r w:rsidR="00163767">
        <w:t xml:space="preserve"> </w:t>
      </w:r>
      <w:r w:rsidR="009A4F65">
        <w:t xml:space="preserve">comments, </w:t>
      </w:r>
      <w:r w:rsidR="00FB312F">
        <w:t xml:space="preserve">2–7. </w:t>
      </w:r>
      <w:r w:rsidR="00FB312F">
        <w:rPr>
          <w:i/>
          <w:iCs/>
        </w:rPr>
        <w:t>B</w:t>
      </w:r>
      <w:r w:rsidR="000C70B3" w:rsidRPr="000C70B3">
        <w:rPr>
          <w:i/>
          <w:iCs/>
        </w:rPr>
        <w:t>ut</w:t>
      </w:r>
      <w:r w:rsidRPr="00324977">
        <w:rPr>
          <w:i/>
          <w:iCs/>
        </w:rPr>
        <w:t xml:space="preserve"> see</w:t>
      </w:r>
      <w:r>
        <w:t xml:space="preserve"> Boeing comments, 8.</w:t>
      </w:r>
      <w:bookmarkEnd w:id="6"/>
    </w:p>
  </w:footnote>
  <w:footnote w:id="4">
    <w:p w14:paraId="6925EC65" w14:textId="795F92FA" w:rsidR="004953E5" w:rsidRDefault="004953E5" w:rsidP="004953E5">
      <w:pPr>
        <w:pStyle w:val="FootnoteText"/>
      </w:pPr>
      <w:r>
        <w:rPr>
          <w:rStyle w:val="FootnoteReference"/>
        </w:rPr>
        <w:footnoteRef/>
      </w:r>
      <w:r>
        <w:t xml:space="preserve"> Nokia comments, 8, 9.</w:t>
      </w:r>
    </w:p>
  </w:footnote>
  <w:footnote w:id="5">
    <w:p w14:paraId="059D3199" w14:textId="77777777" w:rsidR="00EC4350" w:rsidRDefault="00EC4350" w:rsidP="00EC4350">
      <w:pPr>
        <w:pStyle w:val="FootnoteText"/>
      </w:pPr>
      <w:r>
        <w:rPr>
          <w:rStyle w:val="FootnoteReference"/>
        </w:rPr>
        <w:footnoteRef/>
      </w:r>
      <w:r>
        <w:t xml:space="preserve"> De Vries comments, 40–41.</w:t>
      </w:r>
    </w:p>
  </w:footnote>
  <w:footnote w:id="6">
    <w:p w14:paraId="7A8473C0" w14:textId="5FA25A97" w:rsidR="00EC4350" w:rsidRDefault="00EC4350" w:rsidP="00EC4350">
      <w:pPr>
        <w:pStyle w:val="FootnoteText"/>
      </w:pPr>
      <w:bookmarkStart w:id="8" w:name="_Ref109497594"/>
      <w:r>
        <w:rPr>
          <w:rStyle w:val="FootnoteReference"/>
        </w:rPr>
        <w:footnoteRef/>
      </w:r>
      <w:r>
        <w:t xml:space="preserve"> </w:t>
      </w:r>
      <w:r w:rsidRPr="00CA1A27">
        <w:rPr>
          <w:i/>
          <w:iCs/>
        </w:rPr>
        <w:t>See</w:t>
      </w:r>
      <w:r w:rsidR="00A00753">
        <w:rPr>
          <w:i/>
          <w:iCs/>
        </w:rPr>
        <w:t>,</w:t>
      </w:r>
      <w:r w:rsidRPr="00CA1A27">
        <w:rPr>
          <w:i/>
          <w:iCs/>
        </w:rPr>
        <w:t xml:space="preserve"> e.g.</w:t>
      </w:r>
      <w:r w:rsidR="00A00753">
        <w:t>,</w:t>
      </w:r>
      <w:r>
        <w:t xml:space="preserve"> Alliance for Automotive Automation comments; Cisco comments</w:t>
      </w:r>
      <w:r w:rsidR="00566CAE">
        <w:t xml:space="preserve">; </w:t>
      </w:r>
      <w:r>
        <w:t>CommScope comments</w:t>
      </w:r>
      <w:r w:rsidR="00776F82">
        <w:t xml:space="preserve">; CTIA comments; </w:t>
      </w:r>
      <w:r>
        <w:t>D</w:t>
      </w:r>
      <w:r w:rsidRPr="00907985">
        <w:t>e Vries</w:t>
      </w:r>
      <w:r>
        <w:t xml:space="preserve"> comments;</w:t>
      </w:r>
      <w:r w:rsidRPr="00907985">
        <w:t xml:space="preserve"> </w:t>
      </w:r>
      <w:r>
        <w:t xml:space="preserve">Deere comments; Echostar/Hughes comments; Ericsson comments; Garmin comments; Lockheed Martin comments; Motorola comments; </w:t>
      </w:r>
      <w:r w:rsidRPr="00907985">
        <w:t>Nokia</w:t>
      </w:r>
      <w:r>
        <w:t xml:space="preserve"> comments;</w:t>
      </w:r>
      <w:r w:rsidRPr="00907985">
        <w:t xml:space="preserve"> </w:t>
      </w:r>
      <w:r>
        <w:t xml:space="preserve">NPSTC comments; Peha comments; Qualcomm comments; </w:t>
      </w:r>
      <w:r w:rsidRPr="00907985">
        <w:t>Robert Bosch</w:t>
      </w:r>
      <w:r>
        <w:t xml:space="preserve"> comments;</w:t>
      </w:r>
      <w:r w:rsidRPr="00907985">
        <w:t xml:space="preserve"> T-Mobile</w:t>
      </w:r>
      <w:r>
        <w:t xml:space="preserve"> comments;</w:t>
      </w:r>
      <w:r w:rsidRPr="00907985">
        <w:t xml:space="preserve"> </w:t>
      </w:r>
      <w:r>
        <w:t xml:space="preserve">TechFreedom comments; Verizon comments; Weber comments; </w:t>
      </w:r>
      <w:r w:rsidRPr="00907985">
        <w:t>WinnForum</w:t>
      </w:r>
      <w:r>
        <w:t xml:space="preserve"> comments;</w:t>
      </w:r>
      <w:r w:rsidRPr="00907985">
        <w:t xml:space="preserve"> WISPA</w:t>
      </w:r>
      <w:r>
        <w:t xml:space="preserve"> comments.</w:t>
      </w:r>
      <w:bookmarkEnd w:id="8"/>
    </w:p>
  </w:footnote>
  <w:footnote w:id="7">
    <w:p w14:paraId="46597D4B" w14:textId="4151B226" w:rsidR="00EC4350" w:rsidRDefault="00EC4350" w:rsidP="00EC4350">
      <w:pPr>
        <w:pStyle w:val="FootnoteText"/>
      </w:pPr>
      <w:r>
        <w:rPr>
          <w:rStyle w:val="FootnoteReference"/>
        </w:rPr>
        <w:footnoteRef/>
      </w:r>
      <w:r>
        <w:t xml:space="preserve"> </w:t>
      </w:r>
      <w:r w:rsidR="00A00753">
        <w:rPr>
          <w:i/>
          <w:iCs/>
        </w:rPr>
        <w:t>See, e.g.,</w:t>
      </w:r>
      <w:r>
        <w:t xml:space="preserve"> AT&amp;T comments; Boeing comments; Cisco comments; CTIA comments; Deere comments; EWA comments; Garmin comments; Intelsat comments; NPSTC comments; Robert Bosch comments; TechFreedom comments; Qualcomm comments. </w:t>
      </w:r>
    </w:p>
  </w:footnote>
  <w:footnote w:id="8">
    <w:p w14:paraId="7228797D" w14:textId="28576E55" w:rsidR="00EC4350" w:rsidRDefault="00EC4350" w:rsidP="00EC4350">
      <w:pPr>
        <w:pStyle w:val="FootnoteText"/>
      </w:pPr>
      <w:r>
        <w:rPr>
          <w:rStyle w:val="FootnoteReference"/>
        </w:rPr>
        <w:footnoteRef/>
      </w:r>
      <w:r>
        <w:t xml:space="preserve"> </w:t>
      </w:r>
      <w:r>
        <w:rPr>
          <w:i/>
          <w:iCs/>
        </w:rPr>
        <w:t>C</w:t>
      </w:r>
      <w:r w:rsidRPr="00806F1D">
        <w:rPr>
          <w:i/>
          <w:iCs/>
        </w:rPr>
        <w:t>ontra</w:t>
      </w:r>
      <w:r>
        <w:t xml:space="preserve"> Cisco comments, 7 (</w:t>
      </w:r>
      <w:r w:rsidR="005D0508">
        <w:t>“</w:t>
      </w:r>
      <w:r w:rsidRPr="006C7512">
        <w:t xml:space="preserve">Even receivers that are designed to function in the same band may have different characteristics and vulnerabilities, because they originate from different manufacturers, or at different points in time. An all-purpose one-size-fits-all HCT would likely not be feasible or effective for all such receivers </w:t>
      </w:r>
      <w:r w:rsidR="00E015AF">
        <w:t>. .</w:t>
      </w:r>
      <w:r w:rsidR="00C56555">
        <w:t> </w:t>
      </w:r>
      <w:r w:rsidR="00E015AF">
        <w:t>. .</w:t>
      </w:r>
      <w:r w:rsidR="005D0508">
        <w:t>”</w:t>
      </w:r>
      <w:r>
        <w:t>)</w:t>
      </w:r>
    </w:p>
  </w:footnote>
  <w:footnote w:id="9">
    <w:p w14:paraId="21F491FE" w14:textId="41EFFE6B" w:rsidR="008A6905" w:rsidRDefault="008A6905" w:rsidP="008A6905">
      <w:pPr>
        <w:pStyle w:val="FootnoteText"/>
      </w:pPr>
      <w:r>
        <w:rPr>
          <w:rStyle w:val="FootnoteReference"/>
        </w:rPr>
        <w:footnoteRef/>
      </w:r>
      <w:r>
        <w:t xml:space="preserve"> </w:t>
      </w:r>
      <w:r>
        <w:rPr>
          <w:i/>
          <w:iCs/>
        </w:rPr>
        <w:t>C</w:t>
      </w:r>
      <w:r w:rsidRPr="00DB64E0">
        <w:rPr>
          <w:i/>
          <w:iCs/>
        </w:rPr>
        <w:t>ontra</w:t>
      </w:r>
      <w:r>
        <w:t xml:space="preserve"> Nokia comments, 9–10 (</w:t>
      </w:r>
      <w:r w:rsidR="005D0508">
        <w:t>“</w:t>
      </w:r>
      <w:r w:rsidRPr="008111A7">
        <w:t xml:space="preserve">The interference thresholds may be different from one service to another, thus making it nearly impossible to define a common set of parameters and their values </w:t>
      </w:r>
      <w:r w:rsidR="00E015AF">
        <w:t>. .</w:t>
      </w:r>
      <w:r w:rsidR="00CC47D9">
        <w:t xml:space="preserve"> </w:t>
      </w:r>
      <w:r w:rsidR="00E015AF">
        <w:t>. .</w:t>
      </w:r>
      <w:r w:rsidR="005D0508">
        <w:t>”</w:t>
      </w:r>
      <w:r>
        <w:t>).</w:t>
      </w:r>
    </w:p>
  </w:footnote>
  <w:footnote w:id="10">
    <w:p w14:paraId="148D744A" w14:textId="1DA19077" w:rsidR="006F7674" w:rsidRDefault="008A6905" w:rsidP="00FB4597">
      <w:pPr>
        <w:pStyle w:val="FootnoteText"/>
      </w:pPr>
      <w:r>
        <w:rPr>
          <w:rStyle w:val="FootnoteReference"/>
        </w:rPr>
        <w:footnoteRef/>
      </w:r>
      <w:r>
        <w:t xml:space="preserve"> </w:t>
      </w:r>
      <w:r w:rsidR="003253D6">
        <w:t>AT&amp;T comments, ii (“[A]</w:t>
      </w:r>
      <w:r w:rsidR="003253D6" w:rsidRPr="009A23B7">
        <w:t xml:space="preserve">ppropriate </w:t>
      </w:r>
      <w:r w:rsidR="003253D6">
        <w:t>‘</w:t>
      </w:r>
      <w:r w:rsidR="003253D6" w:rsidRPr="009A23B7">
        <w:t>harm claim thresholds</w:t>
      </w:r>
      <w:r w:rsidR="003253D6">
        <w:t>’</w:t>
      </w:r>
      <w:r w:rsidR="003253D6" w:rsidRPr="009A23B7">
        <w:t xml:space="preserve"> </w:t>
      </w:r>
      <w:r w:rsidR="003253D6">
        <w:t>. . .</w:t>
      </w:r>
      <w:r w:rsidR="003253D6" w:rsidRPr="009A23B7">
        <w:t xml:space="preserve"> would add needed predictability and incentivize users </w:t>
      </w:r>
      <w:r w:rsidR="003253D6">
        <w:t xml:space="preserve">. . . .”), 3 (“But </w:t>
      </w:r>
      <w:r w:rsidR="003253D6" w:rsidRPr="00C11312">
        <w:t xml:space="preserve">there are pragmatic ways to implement this principle, such as implementing </w:t>
      </w:r>
      <w:r w:rsidR="003253D6">
        <w:t>“</w:t>
      </w:r>
      <w:r w:rsidR="003253D6" w:rsidRPr="00C11312">
        <w:t>harm claim threshold</w:t>
      </w:r>
      <w:r w:rsidR="003253D6">
        <w:t>”</w:t>
      </w:r>
      <w:r w:rsidR="003253D6" w:rsidRPr="00C11312">
        <w:t xml:space="preserve"> concepts </w:t>
      </w:r>
      <w:r w:rsidR="003253D6">
        <w:t>. . . .”), 8 (“[A]</w:t>
      </w:r>
      <w:r w:rsidR="003253D6" w:rsidRPr="005D6DB1">
        <w:t xml:space="preserve"> harm claim threshold can be tailored to provide greater operational certainty for all users, while improving overall spectrum efficiency</w:t>
      </w:r>
      <w:r w:rsidR="003253D6">
        <w:t>.”)</w:t>
      </w:r>
      <w:r w:rsidR="0049312C">
        <w:t xml:space="preserve">; </w:t>
      </w:r>
      <w:r w:rsidR="00D2564C">
        <w:t xml:space="preserve">Bykowsky &amp; Sharkey comments, </w:t>
      </w:r>
      <w:r w:rsidR="00D2564C" w:rsidRPr="00C608D3">
        <w:t>3 (</w:t>
      </w:r>
      <w:r w:rsidR="00D2564C">
        <w:t>“</w:t>
      </w:r>
      <w:r w:rsidR="00D2564C" w:rsidRPr="00C608D3">
        <w:t xml:space="preserve">If parameters are set to the right levels, a harm claim threshold would create strong incentives to build systems that can withstand significant interference from neighbors </w:t>
      </w:r>
      <w:r w:rsidR="00D2564C">
        <w:t>. .</w:t>
      </w:r>
      <w:r w:rsidR="00D2564C" w:rsidRPr="00C608D3">
        <w:t xml:space="preserve"> </w:t>
      </w:r>
      <w:r w:rsidR="00D2564C">
        <w:t>. .”</w:t>
      </w:r>
      <w:r w:rsidR="00D2564C" w:rsidRPr="00C608D3">
        <w:t>)</w:t>
      </w:r>
      <w:r w:rsidR="00D2564C">
        <w:t xml:space="preserve">; </w:t>
      </w:r>
      <w:r w:rsidR="00B9083A">
        <w:t xml:space="preserve">CTA comments, 3 n.9 </w:t>
      </w:r>
      <w:r w:rsidR="00106300">
        <w:t>(</w:t>
      </w:r>
      <w:r w:rsidR="00951E5E">
        <w:t>referring</w:t>
      </w:r>
      <w:r w:rsidR="00B9083A">
        <w:t xml:space="preserve"> to its comments in </w:t>
      </w:r>
      <w:r w:rsidR="00B9083A" w:rsidRPr="006F7674">
        <w:t>ET Docket No. 13-101</w:t>
      </w:r>
      <w:r w:rsidR="00951E5E">
        <w:t>,</w:t>
      </w:r>
      <w:r w:rsidR="00B9083A" w:rsidRPr="006F7674">
        <w:t xml:space="preserve"> filed July 22, 2013</w:t>
      </w:r>
      <w:r w:rsidR="00B9083A">
        <w:t xml:space="preserve">, 1 “CEA </w:t>
      </w:r>
      <w:r w:rsidR="00E015AF">
        <w:t>. .</w:t>
      </w:r>
      <w:r w:rsidR="00B9083A">
        <w:t xml:space="preserve"> . specifically supports the TAC white paper’s proposal to establish harm claim thresholds as one option </w:t>
      </w:r>
      <w:r w:rsidR="00E015AF">
        <w:t>. .</w:t>
      </w:r>
      <w:r w:rsidR="00B9083A">
        <w:t xml:space="preserve"> </w:t>
      </w:r>
      <w:r w:rsidR="00E015AF">
        <w:t>. .</w:t>
      </w:r>
      <w:r w:rsidR="00B9083A">
        <w:t xml:space="preserve">”); </w:t>
      </w:r>
      <w:r w:rsidR="0049312C">
        <w:t>CTIA comments, 8 (“</w:t>
      </w:r>
      <w:r w:rsidR="0049312C" w:rsidRPr="00224765">
        <w:t>CTIA supports Commission action to review and study mechanisms (including harm claim thresholds) that could potentially be applied to new or currently inefficient spectrum allocations going forward.</w:t>
      </w:r>
      <w:r w:rsidR="0049312C">
        <w:t xml:space="preserve">”); </w:t>
      </w:r>
      <w:r w:rsidR="003A2EDC">
        <w:t xml:space="preserve">De Vries comments, </w:t>
      </w:r>
      <w:r w:rsidR="003A2EDC" w:rsidRPr="00A324CC">
        <w:t>iv (</w:t>
      </w:r>
      <w:r w:rsidR="003A2EDC">
        <w:t>“</w:t>
      </w:r>
      <w:r w:rsidR="003A2EDC" w:rsidRPr="00A324CC">
        <w:t>[T]he Commission can use interference limits in general policy statements and specific rulemakings, and use harm claim thresholds in equipment regulation.</w:t>
      </w:r>
      <w:r w:rsidR="003A2EDC">
        <w:t>”</w:t>
      </w:r>
      <w:r w:rsidR="003A2EDC" w:rsidRPr="00A324CC">
        <w:t>)</w:t>
      </w:r>
      <w:r w:rsidR="003A2EDC">
        <w:t xml:space="preserve">; </w:t>
      </w:r>
      <w:r w:rsidR="00EA3995">
        <w:t>Ericsson comments, 14 (“[I]</w:t>
      </w:r>
      <w:r w:rsidR="00EA3995" w:rsidRPr="00D57447">
        <w:t>t could afford equipment manufacturers and operators flexibility to determine how best to respond to in-band and out-of-band signal levels deemed acceptable</w:t>
      </w:r>
      <w:r w:rsidR="00EA3995">
        <w:t xml:space="preserve">. . . . </w:t>
      </w:r>
      <w:r w:rsidR="00EA3995" w:rsidRPr="00CB0464">
        <w:t>Implementing a harm claim threshold would involve multiple challenges, however</w:t>
      </w:r>
      <w:r w:rsidR="00EA3995">
        <w:t xml:space="preserve">.”); </w:t>
      </w:r>
      <w:r w:rsidR="005636EC">
        <w:t>EWA comments</w:t>
      </w:r>
      <w:r w:rsidR="00CD0659">
        <w:t xml:space="preserve">, </w:t>
      </w:r>
      <w:r w:rsidR="00CD0659" w:rsidRPr="00CD0659">
        <w:t>4 (</w:t>
      </w:r>
      <w:r w:rsidR="005D0508">
        <w:t>“</w:t>
      </w:r>
      <w:r w:rsidR="005034A3">
        <w:t>[T]</w:t>
      </w:r>
      <w:r w:rsidR="00CD0659" w:rsidRPr="00CD0659">
        <w:t>he Commission also may need to adopt harm-claim thresholds or similar standards that define, not how a receiver must be designed, but its ability to reject interference before it is permitted to claim interference protection.</w:t>
      </w:r>
      <w:r w:rsidR="005D0508">
        <w:t>”</w:t>
      </w:r>
      <w:r w:rsidR="00CD0659" w:rsidRPr="00CD0659">
        <w:t>)</w:t>
      </w:r>
      <w:r w:rsidR="005034A3">
        <w:t xml:space="preserve">; </w:t>
      </w:r>
      <w:r w:rsidR="00CA4B57">
        <w:t xml:space="preserve">FiRA comments, </w:t>
      </w:r>
      <w:r w:rsidR="00CA4B57" w:rsidRPr="00CA4B57">
        <w:t>5 (</w:t>
      </w:r>
      <w:r w:rsidR="005D0508">
        <w:t>“</w:t>
      </w:r>
      <w:r w:rsidR="00CA4B57" w:rsidRPr="00CA4B57">
        <w:t xml:space="preserve">The FCC is encouraged to adopt such </w:t>
      </w:r>
      <w:r w:rsidR="005D0508">
        <w:t>‘</w:t>
      </w:r>
      <w:r w:rsidR="00CA4B57" w:rsidRPr="00CA4B57">
        <w:t>interference limits</w:t>
      </w:r>
      <w:r w:rsidR="005D0508">
        <w:t>’</w:t>
      </w:r>
      <w:r w:rsidR="00CA4B57" w:rsidRPr="00CA4B57">
        <w:t xml:space="preserve"> or </w:t>
      </w:r>
      <w:r w:rsidR="005D0508">
        <w:t>‘</w:t>
      </w:r>
      <w:r w:rsidR="00CA4B57" w:rsidRPr="00CA4B57">
        <w:t>risk informed interference assessment</w:t>
      </w:r>
      <w:r w:rsidR="005D0508">
        <w:t>’</w:t>
      </w:r>
      <w:r w:rsidR="00CA4B57" w:rsidRPr="00CA4B57">
        <w:t xml:space="preserve"> or principles of a similar effect </w:t>
      </w:r>
      <w:r w:rsidR="00E015AF">
        <w:t>. .</w:t>
      </w:r>
      <w:r w:rsidR="00CA4B57" w:rsidRPr="00CA4B57">
        <w:t xml:space="preserve"> </w:t>
      </w:r>
      <w:r w:rsidR="00E015AF">
        <w:t>. .</w:t>
      </w:r>
      <w:r w:rsidR="005D0508">
        <w:t>”</w:t>
      </w:r>
      <w:r w:rsidR="00CA4B57" w:rsidRPr="00CA4B57">
        <w:t>)</w:t>
      </w:r>
      <w:r w:rsidR="00CA4B57">
        <w:t xml:space="preserve">; </w:t>
      </w:r>
      <w:r w:rsidR="00974E67">
        <w:t>McKay comments, 7 (</w:t>
      </w:r>
      <w:r w:rsidR="005D0508">
        <w:t>“</w:t>
      </w:r>
      <w:r w:rsidR="00974E67">
        <w:t>[T]he FCC should consider adopting minimum interference thresholds.</w:t>
      </w:r>
      <w:r w:rsidR="005D0508">
        <w:t>”</w:t>
      </w:r>
      <w:r w:rsidR="00974E67">
        <w:t>), 9 (</w:t>
      </w:r>
      <w:r w:rsidR="005D0508">
        <w:t>“</w:t>
      </w:r>
      <w:r w:rsidR="00974E67">
        <w:t>The Commission can gauge operational challenges in a band by setting receiver harm claim thresholds that must be exceeded before an operator can file an interference complaint with the FCC.</w:t>
      </w:r>
      <w:r w:rsidR="005D0508">
        <w:t>”</w:t>
      </w:r>
      <w:r w:rsidR="00974E67">
        <w:t xml:space="preserve">); </w:t>
      </w:r>
      <w:r w:rsidR="005C19CF">
        <w:t>Nokia comments, 9 (“</w:t>
      </w:r>
      <w:r w:rsidR="005C19CF" w:rsidRPr="00317951">
        <w:t>While interference limit policies are desirable, they pose several challenges</w:t>
      </w:r>
      <w:r w:rsidR="005C19CF">
        <w:t xml:space="preserve">.”); </w:t>
      </w:r>
      <w:r w:rsidR="00D2564C">
        <w:t>Peha comments, 3 (“[H]</w:t>
      </w:r>
      <w:r w:rsidR="00D2564C" w:rsidRPr="00894563">
        <w:t xml:space="preserve">arm claim threshold is a promising approach </w:t>
      </w:r>
      <w:r w:rsidR="00D2564C">
        <w:t xml:space="preserve">. . . . If parameters are set to the right levels, a harm claim threshold would create strong incentives to build systems that can withstand significant interference from neighbors . . . .”); </w:t>
      </w:r>
      <w:r w:rsidR="0049312C">
        <w:t>T-Mobile comments, 7 (</w:t>
      </w:r>
      <w:r w:rsidR="0049312C">
        <w:rPr>
          <w:lang w:val="en"/>
        </w:rPr>
        <w:t>“</w:t>
      </w:r>
      <w:r w:rsidR="0049312C" w:rsidRPr="00C75486">
        <w:rPr>
          <w:lang w:val="en"/>
        </w:rPr>
        <w:t>T-Mobile previously supported, and continues to support</w:t>
      </w:r>
      <w:r w:rsidR="0049312C">
        <w:rPr>
          <w:lang w:val="en"/>
        </w:rPr>
        <w:t xml:space="preserve"> . . .</w:t>
      </w:r>
      <w:r w:rsidR="0049312C" w:rsidRPr="00C75486">
        <w:rPr>
          <w:lang w:val="en"/>
        </w:rPr>
        <w:t xml:space="preserve"> </w:t>
      </w:r>
      <w:r w:rsidR="0049312C">
        <w:rPr>
          <w:lang w:val="en"/>
        </w:rPr>
        <w:t>‘</w:t>
      </w:r>
      <w:r w:rsidR="0049312C" w:rsidRPr="00C75486">
        <w:rPr>
          <w:lang w:val="en"/>
        </w:rPr>
        <w:t>interference limits policy,</w:t>
      </w:r>
      <w:r w:rsidR="0049312C">
        <w:rPr>
          <w:lang w:val="en"/>
        </w:rPr>
        <w:t>’</w:t>
      </w:r>
      <w:r w:rsidR="0049312C" w:rsidRPr="00C75486">
        <w:rPr>
          <w:lang w:val="en"/>
        </w:rPr>
        <w:t xml:space="preserve"> including </w:t>
      </w:r>
      <w:r w:rsidR="0049312C">
        <w:rPr>
          <w:lang w:val="en"/>
        </w:rPr>
        <w:t>‘</w:t>
      </w:r>
      <w:r w:rsidR="0049312C" w:rsidRPr="00C75486">
        <w:rPr>
          <w:lang w:val="en"/>
        </w:rPr>
        <w:t>harm claim thresholds</w:t>
      </w:r>
      <w:r w:rsidR="0049312C">
        <w:rPr>
          <w:lang w:val="en"/>
        </w:rPr>
        <w:t>’ . . . .”</w:t>
      </w:r>
      <w:r w:rsidR="0049312C">
        <w:t xml:space="preserve">); </w:t>
      </w:r>
      <w:r w:rsidR="002C4DF0">
        <w:t xml:space="preserve">Verizon comments, 12 (“An approach that develops band-specific expectations, identifies a level of interference below which an operator may not claim harmful interference, and provides for flexibility rather than mandating specific receiver characteristics, would go far in promoting more efficient use of spectrum.”); </w:t>
      </w:r>
      <w:r w:rsidR="000F5590">
        <w:t xml:space="preserve">WISPA comments, 3–4 </w:t>
      </w:r>
      <w:r w:rsidR="000F5590" w:rsidRPr="000F5590">
        <w:t>(</w:t>
      </w:r>
      <w:r w:rsidR="005D0508">
        <w:t>“</w:t>
      </w:r>
      <w:r w:rsidR="000F5590" w:rsidRPr="000F5590">
        <w:t>[</w:t>
      </w:r>
      <w:r w:rsidR="00C038DA">
        <w:t>A]</w:t>
      </w:r>
      <w:r w:rsidR="000F5590" w:rsidRPr="000F5590">
        <w:t xml:space="preserve"> two-phase process that considers and includes voluntary best practices and recommendations from a multi-stakeholder group </w:t>
      </w:r>
      <w:r w:rsidR="00E015AF">
        <w:t>. .</w:t>
      </w:r>
      <w:r w:rsidR="00C038DA">
        <w:t xml:space="preserve"> .</w:t>
      </w:r>
      <w:r w:rsidR="000F5590" w:rsidRPr="000F5590">
        <w:t xml:space="preserve"> followed by rules that set harm claim thresholds to define interference protection.</w:t>
      </w:r>
      <w:r w:rsidR="005D0508">
        <w:t>”</w:t>
      </w:r>
      <w:r w:rsidR="000F5590" w:rsidRPr="000F5590">
        <w:t>)</w:t>
      </w:r>
      <w:r w:rsidR="00795800">
        <w:t>.</w:t>
      </w:r>
    </w:p>
  </w:footnote>
  <w:footnote w:id="11">
    <w:p w14:paraId="210AA35F" w14:textId="2388C57A" w:rsidR="001076A0" w:rsidRDefault="001076A0">
      <w:pPr>
        <w:pStyle w:val="FootnoteText"/>
      </w:pPr>
      <w:r>
        <w:rPr>
          <w:rStyle w:val="FootnoteReference"/>
        </w:rPr>
        <w:footnoteRef/>
      </w:r>
      <w:r>
        <w:t xml:space="preserve"> </w:t>
      </w:r>
      <w:r w:rsidRPr="001076A0">
        <w:t>AT&amp;T comments, Summary (</w:t>
      </w:r>
      <w:r w:rsidR="005D0508">
        <w:t>“</w:t>
      </w:r>
      <w:r w:rsidRPr="001076A0">
        <w:t xml:space="preserve">[T]he licensee </w:t>
      </w:r>
      <w:r w:rsidR="00E015AF">
        <w:t>. .</w:t>
      </w:r>
      <w:r w:rsidRPr="001076A0">
        <w:t xml:space="preserve"> . may inflict the costs of poor performance on unrelated parties</w:t>
      </w:r>
      <w:r>
        <w:t xml:space="preserve"> </w:t>
      </w:r>
      <w:r w:rsidR="00E015AF">
        <w:t>. .</w:t>
      </w:r>
      <w:r w:rsidRPr="001076A0">
        <w:t xml:space="preserve"> </w:t>
      </w:r>
      <w:r w:rsidR="00E015AF">
        <w:t>. .</w:t>
      </w:r>
      <w:r w:rsidR="005D0508">
        <w:t>”</w:t>
      </w:r>
      <w:r w:rsidRPr="001076A0">
        <w:t>); Bykowsky/Sharkey comments, 7 n.11 (</w:t>
      </w:r>
      <w:r w:rsidR="005D0508">
        <w:t>“</w:t>
      </w:r>
      <w:r w:rsidRPr="001076A0">
        <w:t xml:space="preserve">[T]he goal is to </w:t>
      </w:r>
      <w:r w:rsidR="005D0508">
        <w:t>‘</w:t>
      </w:r>
      <w:r w:rsidRPr="001076A0">
        <w:t>internalize the externality</w:t>
      </w:r>
      <w:r w:rsidR="005D0508">
        <w:t>’</w:t>
      </w:r>
      <w:r w:rsidRPr="001076A0">
        <w:t xml:space="preserve"> </w:t>
      </w:r>
      <w:r w:rsidR="00E015AF">
        <w:t>. .</w:t>
      </w:r>
      <w:r w:rsidRPr="001076A0">
        <w:t xml:space="preserve"> </w:t>
      </w:r>
      <w:r w:rsidR="00E015AF">
        <w:t>. .</w:t>
      </w:r>
      <w:r w:rsidR="005D0508">
        <w:t>”</w:t>
      </w:r>
      <w:r w:rsidRPr="001076A0">
        <w:t>); Boeing comments, 20 (</w:t>
      </w:r>
      <w:r w:rsidR="005D0508">
        <w:t>“</w:t>
      </w:r>
      <w:r w:rsidRPr="001076A0">
        <w:t xml:space="preserve">[O]ne of the major encumbrances to the widespread adoption of more efficient receivers is the externalities of their benefits </w:t>
      </w:r>
      <w:r w:rsidR="00E015AF">
        <w:t>. .</w:t>
      </w:r>
      <w:r w:rsidRPr="001076A0">
        <w:t xml:space="preserve"> </w:t>
      </w:r>
      <w:r w:rsidR="00E015AF">
        <w:t>. .</w:t>
      </w:r>
      <w:r w:rsidR="005D0508">
        <w:t>”</w:t>
      </w:r>
      <w:r w:rsidRPr="001076A0">
        <w:t>); Ericsson comments, 7 (</w:t>
      </w:r>
      <w:r w:rsidR="005D0508">
        <w:t>“</w:t>
      </w:r>
      <w:r w:rsidRPr="001076A0">
        <w:t>[T]he operator incurring the cost of improved receiver performance does not reap the benefits of such improvements.</w:t>
      </w:r>
      <w:r w:rsidR="005D0508">
        <w:t>”</w:t>
      </w:r>
      <w:r w:rsidRPr="001076A0">
        <w:t>); NCTA comments, 10 (</w:t>
      </w:r>
      <w:r w:rsidR="005D0508">
        <w:t>“</w:t>
      </w:r>
      <w:r w:rsidRPr="001076A0">
        <w:t>[T]he Commission should [not permit] users in particular bands to externalize costs onto others by under-investing in reasonable receivers.);  PK/O</w:t>
      </w:r>
      <w:r w:rsidR="008A1EC3">
        <w:t>T</w:t>
      </w:r>
      <w:r w:rsidRPr="001076A0">
        <w:t>I comments, 14 (</w:t>
      </w:r>
      <w:r w:rsidR="005D0508">
        <w:t>“</w:t>
      </w:r>
      <w:r w:rsidRPr="001076A0">
        <w:t>[R]ather than encouraging incumbents to create negative externalities for future services.</w:t>
      </w:r>
      <w:r w:rsidR="005D0508">
        <w:t>”</w:t>
      </w:r>
      <w:r w:rsidRPr="001076A0">
        <w:t>).</w:t>
      </w:r>
    </w:p>
  </w:footnote>
  <w:footnote w:id="12">
    <w:p w14:paraId="0F5703F8" w14:textId="35A810E7" w:rsidR="001043F2" w:rsidRDefault="001043F2">
      <w:pPr>
        <w:pStyle w:val="FootnoteText"/>
      </w:pPr>
      <w:r>
        <w:rPr>
          <w:rStyle w:val="FootnoteReference"/>
        </w:rPr>
        <w:footnoteRef/>
      </w:r>
      <w:r>
        <w:t xml:space="preserve"> </w:t>
      </w:r>
      <w:r w:rsidRPr="001043F2">
        <w:t>Bykowsky/Sharkey comments 10–11 (efficiency enhancing effects); De Vries comments, 27 (bargaining).</w:t>
      </w:r>
    </w:p>
  </w:footnote>
  <w:footnote w:id="13">
    <w:p w14:paraId="79D1BE3B" w14:textId="77777777" w:rsidR="00811C2F" w:rsidRDefault="00811C2F" w:rsidP="00811C2F">
      <w:pPr>
        <w:pStyle w:val="FootnoteText"/>
      </w:pPr>
      <w:r>
        <w:rPr>
          <w:rStyle w:val="FootnoteReference"/>
        </w:rPr>
        <w:footnoteRef/>
      </w:r>
      <w:r>
        <w:t xml:space="preserve"> De Vries comments, 9.</w:t>
      </w:r>
    </w:p>
  </w:footnote>
  <w:footnote w:id="14">
    <w:p w14:paraId="7E7BE2A7" w14:textId="29B5EFAB" w:rsidR="00811C2F" w:rsidRDefault="00811C2F" w:rsidP="00811C2F">
      <w:pPr>
        <w:pStyle w:val="FootnoteText"/>
      </w:pPr>
      <w:r>
        <w:rPr>
          <w:rStyle w:val="FootnoteReference"/>
        </w:rPr>
        <w:footnoteRef/>
      </w:r>
      <w:r>
        <w:t xml:space="preserve"> De Vries comments, 1; </w:t>
      </w:r>
      <w:r w:rsidRPr="00A06B4E">
        <w:rPr>
          <w:i/>
          <w:iCs/>
        </w:rPr>
        <w:t>cf</w:t>
      </w:r>
      <w:r>
        <w:t xml:space="preserve">. </w:t>
      </w:r>
      <w:r w:rsidRPr="005035D3">
        <w:t xml:space="preserve">TAC Spectrum / Receiver Performance Working Group, </w:t>
      </w:r>
      <w:r w:rsidRPr="005035D3">
        <w:rPr>
          <w:i/>
          <w:iCs/>
        </w:rPr>
        <w:t xml:space="preserve">Interference Limits Policy and Harm Claim Thresholds: An Introduction </w:t>
      </w:r>
      <w:r w:rsidRPr="005035D3">
        <w:t>(2014) (</w:t>
      </w:r>
      <w:r w:rsidRPr="005035D3">
        <w:rPr>
          <w:i/>
          <w:iCs/>
        </w:rPr>
        <w:t xml:space="preserve">TAC </w:t>
      </w:r>
      <w:r w:rsidR="0003649A">
        <w:rPr>
          <w:i/>
          <w:iCs/>
        </w:rPr>
        <w:t>IL/HCT</w:t>
      </w:r>
      <w:r w:rsidRPr="005035D3">
        <w:rPr>
          <w:i/>
          <w:iCs/>
        </w:rPr>
        <w:t xml:space="preserve"> Introduction</w:t>
      </w:r>
      <w:r w:rsidRPr="005035D3">
        <w:t xml:space="preserve">), Section 1, found at </w:t>
      </w:r>
      <w:hyperlink r:id="rId1" w:history="1">
        <w:r w:rsidRPr="006A36DF">
          <w:rPr>
            <w:rStyle w:val="Hyperlink"/>
          </w:rPr>
          <w:t>https://transition.fcc.gov/oet/tac/tacdocs/reports/TACInterferenceLimitsIntrov1.0.pdf</w:t>
        </w:r>
      </w:hyperlink>
      <w:r>
        <w:t>. Note that t</w:t>
      </w:r>
      <w:r w:rsidRPr="00FB38FC">
        <w:t xml:space="preserve">he NOI discusses </w:t>
      </w:r>
      <w:r w:rsidR="005D0508">
        <w:t>“</w:t>
      </w:r>
      <w:r w:rsidRPr="00FB38FC">
        <w:t>Interference limits policy, including harm claim thresholds</w:t>
      </w:r>
      <w:r w:rsidR="005D0508">
        <w:t>”</w:t>
      </w:r>
      <w:r w:rsidRPr="00FB38FC">
        <w:t xml:space="preserve"> under the heading of </w:t>
      </w:r>
      <w:r w:rsidR="005D0508">
        <w:t>“</w:t>
      </w:r>
      <w:r w:rsidRPr="00FB38FC">
        <w:t>Commission Policy and Guidance</w:t>
      </w:r>
      <w:r w:rsidR="005D0508">
        <w:t>”</w:t>
      </w:r>
      <w:r w:rsidRPr="00FB38FC">
        <w:t xml:space="preserve"> (</w:t>
      </w:r>
      <w:r w:rsidRPr="009D3D60">
        <w:rPr>
          <w:i/>
          <w:iCs/>
        </w:rPr>
        <w:t>NOI</w:t>
      </w:r>
      <w:r w:rsidRPr="00FB38FC">
        <w:t xml:space="preserve"> paras</w:t>
      </w:r>
      <w:r w:rsidR="009D3D60">
        <w:t>.</w:t>
      </w:r>
      <w:r w:rsidRPr="00FB38FC">
        <w:t xml:space="preserve"> 119-136), but HCTs are intended to be used in rules</w:t>
      </w:r>
      <w:r>
        <w:t xml:space="preserve"> and thus do not fall under </w:t>
      </w:r>
      <w:r w:rsidR="005D0508">
        <w:t>“</w:t>
      </w:r>
      <w:r>
        <w:t>policy and guidance</w:t>
      </w:r>
      <w:r w:rsidRPr="00FB38FC">
        <w:t>.</w:t>
      </w:r>
      <w:r w:rsidR="005D0508">
        <w:t>”</w:t>
      </w:r>
      <w:r>
        <w:t xml:space="preserve">); </w:t>
      </w:r>
      <w:r w:rsidRPr="00DC2AA8">
        <w:rPr>
          <w:i/>
          <w:iCs/>
        </w:rPr>
        <w:t>cf</w:t>
      </w:r>
      <w:r>
        <w:t>. NCTA comments, 15 (</w:t>
      </w:r>
      <w:r w:rsidR="005D0508">
        <w:t>“</w:t>
      </w:r>
      <w:r w:rsidRPr="0090098C">
        <w:rPr>
          <w:bCs/>
          <w:iCs/>
          <w:lang w:val="en"/>
        </w:rPr>
        <w:t>While TAC harm claim threshold papers focus on ex post interference disputes, a notice of proposed rulemaking should seek comment on how to use interference limits policy in the many important rulemakings where the Commission considers introducing a new service adjacent to (and potentially co-channel with) an incumbent.</w:t>
      </w:r>
      <w:r w:rsidR="005D0508">
        <w:t>”</w:t>
      </w:r>
      <w:r>
        <w:t>).</w:t>
      </w:r>
    </w:p>
  </w:footnote>
  <w:footnote w:id="15">
    <w:p w14:paraId="7523C783" w14:textId="18465AD6" w:rsidR="001503E3" w:rsidRDefault="001503E3" w:rsidP="001503E3">
      <w:pPr>
        <w:pStyle w:val="FootnoteText"/>
      </w:pPr>
      <w:r>
        <w:rPr>
          <w:rStyle w:val="FootnoteReference"/>
        </w:rPr>
        <w:footnoteRef/>
      </w:r>
      <w:r>
        <w:t xml:space="preserve"> Cisco comments, 7 </w:t>
      </w:r>
      <w:r w:rsidRPr="003F7B14">
        <w:t>(</w:t>
      </w:r>
      <w:r w:rsidR="005D0508">
        <w:t>“</w:t>
      </w:r>
      <w:r w:rsidRPr="003F7B14">
        <w:t xml:space="preserve">Development </w:t>
      </w:r>
      <w:r>
        <w:t xml:space="preserve">[of HCTs] </w:t>
      </w:r>
      <w:r w:rsidRPr="003F7B14">
        <w:t>would be contentious and time consuming.</w:t>
      </w:r>
      <w:r w:rsidR="005D0508">
        <w:t>”</w:t>
      </w:r>
      <w:r w:rsidRPr="003F7B14">
        <w:t>)</w:t>
      </w:r>
      <w:r>
        <w:t xml:space="preserve">; </w:t>
      </w:r>
      <w:r w:rsidR="00B32606">
        <w:t>Ericsson comments, 15 (“</w:t>
      </w:r>
      <w:r w:rsidR="00B32606" w:rsidRPr="003A540B">
        <w:t xml:space="preserve">The process to set an acceptable interference limit is expected to be a contested one </w:t>
      </w:r>
      <w:r w:rsidR="00B32606">
        <w:t>. . . .”);</w:t>
      </w:r>
      <w:r w:rsidR="00B32606">
        <w:rPr>
          <w:i/>
          <w:iCs/>
        </w:rPr>
        <w:t xml:space="preserve"> </w:t>
      </w:r>
      <w:r>
        <w:t>Garmin comments, 15 (</w:t>
      </w:r>
      <w:r w:rsidR="005D0508">
        <w:t>“</w:t>
      </w:r>
      <w:r w:rsidRPr="0019012E">
        <w:t>It is highly unlikely that various disjointed parties will agree on the many assumptions required to structure HCTs.</w:t>
      </w:r>
      <w:r w:rsidR="005D0508">
        <w:t>”</w:t>
      </w:r>
      <w:r>
        <w:t>).</w:t>
      </w:r>
    </w:p>
  </w:footnote>
  <w:footnote w:id="16">
    <w:p w14:paraId="56890C0A" w14:textId="77777777" w:rsidR="009712EC" w:rsidRDefault="009712EC" w:rsidP="009712EC">
      <w:pPr>
        <w:pStyle w:val="FootnoteText"/>
      </w:pPr>
      <w:r>
        <w:rPr>
          <w:rStyle w:val="FootnoteReference"/>
        </w:rPr>
        <w:footnoteRef/>
      </w:r>
      <w:r>
        <w:t xml:space="preserve"> Peha comments, 4 (</w:t>
      </w:r>
      <w:r w:rsidRPr="00743A2D">
        <w:t xml:space="preserve">[W]e cannot expect a typical adversarial debate among competing stakeholders to yield consensus for the harm claim threshold. The impetus to seriously consider the harm claim threshold should come from the entity whose job it is to promote efficient and valuable use of spectrum in the long term: the </w:t>
      </w:r>
      <w:r>
        <w:t>[FCC]</w:t>
      </w:r>
      <w:r w:rsidRPr="00743A2D">
        <w:t>.</w:t>
      </w:r>
      <w:r>
        <w:t>”).</w:t>
      </w:r>
    </w:p>
  </w:footnote>
  <w:footnote w:id="17">
    <w:p w14:paraId="76450FA7" w14:textId="32ED9274" w:rsidR="008A6905" w:rsidRDefault="008A6905" w:rsidP="008A6905">
      <w:pPr>
        <w:pStyle w:val="FootnoteText"/>
      </w:pPr>
      <w:r>
        <w:rPr>
          <w:rStyle w:val="FootnoteReference"/>
        </w:rPr>
        <w:footnoteRef/>
      </w:r>
      <w:r>
        <w:t xml:space="preserve"> NCTA comments, 15 (</w:t>
      </w:r>
      <w:r w:rsidR="005D0508">
        <w:t>“</w:t>
      </w:r>
      <w:r>
        <w:t>[A]</w:t>
      </w:r>
      <w:r w:rsidRPr="00B37BC1">
        <w:t>ny interference limits policy should account for technological advancement.</w:t>
      </w:r>
      <w:r w:rsidR="005D0508">
        <w:t>”</w:t>
      </w:r>
      <w:r>
        <w:t xml:space="preserve">). </w:t>
      </w:r>
      <w:r w:rsidRPr="00384F1E">
        <w:rPr>
          <w:i/>
          <w:iCs/>
        </w:rPr>
        <w:t>Contra</w:t>
      </w:r>
      <w:r>
        <w:t xml:space="preserve"> Cisco comments, 2 (</w:t>
      </w:r>
      <w:r w:rsidR="005D0508">
        <w:t>“</w:t>
      </w:r>
      <w:r>
        <w:t>Even if performance standards or harm-claim thresholds were feasible, they would likely deter innovation because they would reflect only the current spectrum environment</w:t>
      </w:r>
      <w:r w:rsidR="00D55BD1">
        <w:t xml:space="preserve"> </w:t>
      </w:r>
      <w:r w:rsidR="00E015AF">
        <w:t>. .</w:t>
      </w:r>
      <w:r w:rsidR="00465384">
        <w:t> </w:t>
      </w:r>
      <w:r w:rsidR="00E015AF">
        <w:t>. .</w:t>
      </w:r>
      <w:r w:rsidR="005D0508">
        <w:t>”</w:t>
      </w:r>
      <w:r>
        <w:t>).</w:t>
      </w:r>
    </w:p>
  </w:footnote>
  <w:footnote w:id="18">
    <w:p w14:paraId="52767227" w14:textId="565F87B1" w:rsidR="008A6905" w:rsidRDefault="008A6905" w:rsidP="008A6905">
      <w:pPr>
        <w:pStyle w:val="FootnoteText"/>
      </w:pPr>
      <w:r>
        <w:rPr>
          <w:rStyle w:val="FootnoteReference"/>
        </w:rPr>
        <w:footnoteRef/>
      </w:r>
      <w:r>
        <w:t xml:space="preserve"> </w:t>
      </w:r>
      <w:r w:rsidRPr="004A7DEB">
        <w:rPr>
          <w:i/>
          <w:iCs/>
        </w:rPr>
        <w:t>Contra</w:t>
      </w:r>
      <w:r>
        <w:t xml:space="preserve"> NCTA comments, 13 (</w:t>
      </w:r>
      <w:r w:rsidR="005D0508">
        <w:t>“</w:t>
      </w:r>
      <w:r>
        <w:t>[T]</w:t>
      </w:r>
      <w:r w:rsidRPr="00A830DB">
        <w:t xml:space="preserve">heir practical implementation would require considerable </w:t>
      </w:r>
      <w:r w:rsidR="005920EA" w:rsidRPr="00A830DB">
        <w:t>insight into</w:t>
      </w:r>
      <w:r w:rsidRPr="00A830DB">
        <w:t xml:space="preserve"> a future interference environment that is difficult to predict.</w:t>
      </w:r>
      <w:r w:rsidR="005D0508">
        <w:t>”</w:t>
      </w:r>
      <w:r>
        <w:t>).</w:t>
      </w:r>
    </w:p>
  </w:footnote>
  <w:footnote w:id="19">
    <w:p w14:paraId="25061F02" w14:textId="158D06BC" w:rsidR="008A6905" w:rsidRDefault="008A6905" w:rsidP="008A6905">
      <w:pPr>
        <w:pStyle w:val="FootnoteText"/>
      </w:pPr>
      <w:r>
        <w:rPr>
          <w:rStyle w:val="FootnoteReference"/>
        </w:rPr>
        <w:footnoteRef/>
      </w:r>
      <w:r>
        <w:t xml:space="preserve"> </w:t>
      </w:r>
      <w:r w:rsidRPr="003D636E">
        <w:rPr>
          <w:i/>
          <w:iCs/>
        </w:rPr>
        <w:t>See</w:t>
      </w:r>
      <w:r w:rsidR="00917B4A">
        <w:rPr>
          <w:i/>
          <w:iCs/>
        </w:rPr>
        <w:t>,</w:t>
      </w:r>
      <w:r w:rsidRPr="003D636E">
        <w:rPr>
          <w:i/>
          <w:iCs/>
        </w:rPr>
        <w:t xml:space="preserve"> e.g.</w:t>
      </w:r>
      <w:r w:rsidR="00917B4A">
        <w:rPr>
          <w:i/>
          <w:iCs/>
        </w:rPr>
        <w:t>,</w:t>
      </w:r>
      <w:r>
        <w:t xml:space="preserve"> </w:t>
      </w:r>
      <w:r w:rsidRPr="003D636E">
        <w:t>NPSTC</w:t>
      </w:r>
      <w:r>
        <w:t xml:space="preserve"> comments</w:t>
      </w:r>
      <w:r w:rsidR="005920EA">
        <w:t>, 5</w:t>
      </w:r>
      <w:r>
        <w:t xml:space="preserve"> (</w:t>
      </w:r>
      <w:r w:rsidR="005D0508">
        <w:t>“</w:t>
      </w:r>
      <w:r>
        <w:t>[I]f a harm claim thresholds policy were enacted, it would provide a mechanism for the Commission to authorize an incompatible service within or adjacent to a public safety band with a defined level of interference public safety must accept.</w:t>
      </w:r>
      <w:r w:rsidR="005D0508">
        <w:t>”</w:t>
      </w:r>
      <w:r>
        <w:t>).</w:t>
      </w:r>
    </w:p>
  </w:footnote>
  <w:footnote w:id="20">
    <w:p w14:paraId="76E04539" w14:textId="51A4A95A" w:rsidR="008A6905" w:rsidRDefault="008A6905" w:rsidP="008A6905">
      <w:pPr>
        <w:pStyle w:val="FootnoteText"/>
      </w:pPr>
      <w:r>
        <w:rPr>
          <w:rStyle w:val="FootnoteReference"/>
        </w:rPr>
        <w:footnoteRef/>
      </w:r>
      <w:r>
        <w:t xml:space="preserve"> De Vries comments, </w:t>
      </w:r>
      <w:r w:rsidR="008620D8">
        <w:t>18–</w:t>
      </w:r>
      <w:r>
        <w:t>19</w:t>
      </w:r>
      <w:r w:rsidR="008620D8">
        <w:t xml:space="preserve"> (ratchet)</w:t>
      </w:r>
      <w:r>
        <w:t xml:space="preserve">; </w:t>
      </w:r>
      <w:r w:rsidRPr="001120E5">
        <w:rPr>
          <w:i/>
          <w:iCs/>
        </w:rPr>
        <w:t>cf</w:t>
      </w:r>
      <w:r>
        <w:t>. NCTA comments, 15 (</w:t>
      </w:r>
      <w:r w:rsidR="005D0508">
        <w:t>“</w:t>
      </w:r>
      <w:r w:rsidRPr="00280CEB">
        <w:t>By clarifying as a matter of policy that any interference limits policy should evolve over time, the Commission would incentivize operators to invest in technological developments and update their networks over time, rather than under-invest in a manner that undermines the overall value of the nation</w:t>
      </w:r>
      <w:r w:rsidR="005D0508">
        <w:t>’</w:t>
      </w:r>
      <w:r w:rsidRPr="00280CEB">
        <w:t>s spectrum resources.</w:t>
      </w:r>
      <w:r w:rsidR="005D0508">
        <w:t>”</w:t>
      </w:r>
      <w:r>
        <w:t>).</w:t>
      </w:r>
    </w:p>
  </w:footnote>
  <w:footnote w:id="21">
    <w:p w14:paraId="412D0892" w14:textId="4BEADEA3" w:rsidR="005D70DB" w:rsidRDefault="005D70DB" w:rsidP="005D70DB">
      <w:pPr>
        <w:pStyle w:val="FootnoteText"/>
      </w:pPr>
      <w:r>
        <w:rPr>
          <w:rStyle w:val="FootnoteReference"/>
        </w:rPr>
        <w:footnoteRef/>
      </w:r>
      <w:r>
        <w:t xml:space="preserve"> </w:t>
      </w:r>
      <w:r w:rsidRPr="00FB330C">
        <w:rPr>
          <w:i/>
          <w:iCs/>
        </w:rPr>
        <w:t>Contra</w:t>
      </w:r>
      <w:r>
        <w:t xml:space="preserve"> Cisco comments, 7 (</w:t>
      </w:r>
      <w:r w:rsidR="005D0508">
        <w:t>“</w:t>
      </w:r>
      <w:r>
        <w:t>[A]</w:t>
      </w:r>
      <w:r w:rsidRPr="006A7E1F">
        <w:t>ny HCT would need to be continually updated as the environments and types of devices change over time</w:t>
      </w:r>
      <w:r>
        <w:t>.</w:t>
      </w:r>
      <w:r w:rsidR="005D0508">
        <w:t>”</w:t>
      </w:r>
      <w:r>
        <w:t>), 9 (</w:t>
      </w:r>
      <w:r w:rsidR="005D0508">
        <w:t>“</w:t>
      </w:r>
      <w:r>
        <w:t>[</w:t>
      </w:r>
      <w:r w:rsidR="00892C73">
        <w:t>T</w:t>
      </w:r>
      <w:r w:rsidRPr="004160EB">
        <w:t>h</w:t>
      </w:r>
      <w:r w:rsidR="00892C73">
        <w:t>]</w:t>
      </w:r>
      <w:r w:rsidRPr="004160EB">
        <w:t>e agency would have to update it regularly to reflect the dynamic environment in which receivers operate</w:t>
      </w:r>
      <w:r w:rsidR="005A3159">
        <w:t>.</w:t>
      </w:r>
      <w:r w:rsidR="005D0508">
        <w:t>”</w:t>
      </w:r>
      <w:r>
        <w:t xml:space="preserve">). Cisco appears to want things both ways, arguing to the contrary at 2 that </w:t>
      </w:r>
      <w:r w:rsidR="005D0508">
        <w:t>“</w:t>
      </w:r>
      <w:r>
        <w:t>[e]ven if performance standards or harm-claim thresholds were feasible, they would likely deter innovation because they would reflect only the current spectrum environment.</w:t>
      </w:r>
      <w:r w:rsidR="005D0508">
        <w:t>”</w:t>
      </w:r>
    </w:p>
  </w:footnote>
  <w:footnote w:id="22">
    <w:p w14:paraId="6AB36D6B" w14:textId="761777EF" w:rsidR="00467273" w:rsidRDefault="00467273" w:rsidP="00ED1195">
      <w:pPr>
        <w:pStyle w:val="FootnoteText"/>
      </w:pPr>
      <w:r>
        <w:rPr>
          <w:rStyle w:val="FootnoteReference"/>
        </w:rPr>
        <w:footnoteRef/>
      </w:r>
      <w:r>
        <w:t xml:space="preserve"> Shure comments, 8 (</w:t>
      </w:r>
      <w:r w:rsidR="005D0508">
        <w:t>“</w:t>
      </w:r>
      <w:r>
        <w:t>[H]ow to prove harmful interference when the victim network is only temporarily deployed and the interference signal has a transient nature</w:t>
      </w:r>
      <w:r w:rsidR="009E1014">
        <w:t xml:space="preserve"> </w:t>
      </w:r>
      <w:r w:rsidR="00E015AF">
        <w:t>. .</w:t>
      </w:r>
      <w:r w:rsidR="009E1014">
        <w:t xml:space="preserve"> </w:t>
      </w:r>
      <w:r w:rsidR="00E015AF">
        <w:t>. .</w:t>
      </w:r>
      <w:r w:rsidR="005D0508">
        <w:t>”</w:t>
      </w:r>
      <w:r>
        <w:t>).</w:t>
      </w:r>
    </w:p>
  </w:footnote>
  <w:footnote w:id="23">
    <w:p w14:paraId="1A31784A" w14:textId="16089A6A" w:rsidR="00B44789" w:rsidRDefault="00B44789">
      <w:pPr>
        <w:pStyle w:val="FootnoteText"/>
      </w:pPr>
      <w:r>
        <w:rPr>
          <w:rStyle w:val="FootnoteReference"/>
        </w:rPr>
        <w:footnoteRef/>
      </w:r>
      <w:r>
        <w:t xml:space="preserve"> </w:t>
      </w:r>
      <w:r w:rsidR="00A00753">
        <w:rPr>
          <w:i/>
          <w:iCs/>
        </w:rPr>
        <w:t>See, e.g.,</w:t>
      </w:r>
      <w:r w:rsidR="000321BD">
        <w:t xml:space="preserve"> </w:t>
      </w:r>
      <w:r w:rsidR="006200F7" w:rsidRPr="006200F7">
        <w:t xml:space="preserve">TAC </w:t>
      </w:r>
      <w:r w:rsidR="006200F7" w:rsidRPr="003D3374">
        <w:t xml:space="preserve">Spectrum and Receiver Performance Working Group, </w:t>
      </w:r>
      <w:r w:rsidR="006200F7" w:rsidRPr="003D3374">
        <w:rPr>
          <w:i/>
        </w:rPr>
        <w:t>A Study to Develop the Next Generation Systems Architecture for Radio Spectrum Interference Resolution</w:t>
      </w:r>
      <w:r w:rsidR="006200F7" w:rsidRPr="003D3374">
        <w:t xml:space="preserve"> (2016), </w:t>
      </w:r>
      <w:r w:rsidR="007C29EF">
        <w:t xml:space="preserve">9, </w:t>
      </w:r>
      <w:r w:rsidR="002A72D5" w:rsidRPr="002A72D5">
        <w:t xml:space="preserve">found at </w:t>
      </w:r>
      <w:hyperlink r:id="rId2" w:history="1">
        <w:r w:rsidR="006200F7" w:rsidRPr="003D3374">
          <w:rPr>
            <w:rStyle w:val="Hyperlink"/>
          </w:rPr>
          <w:t>https://transition.fcc.gov/oet/tac/tacdocs/reports/2016/A-Study-to-Develop-a-Next-Generation-System-Architecture-V1.0.pdf</w:t>
        </w:r>
      </w:hyperlink>
      <w:r w:rsidR="006200F7">
        <w:t xml:space="preserve"> </w:t>
      </w:r>
      <w:r w:rsidR="00E23BC6" w:rsidRPr="00E23BC6">
        <w:t>(</w:t>
      </w:r>
      <w:r w:rsidR="005D0508">
        <w:t>“</w:t>
      </w:r>
      <w:r w:rsidR="00E23BC6" w:rsidRPr="00E23BC6">
        <w:t xml:space="preserve">The dynamic nature of the modern wireless systems, the normal variability </w:t>
      </w:r>
      <w:r w:rsidR="00C3165C">
        <w:t>[of</w:t>
      </w:r>
      <w:r w:rsidR="00FA3565">
        <w:t>]</w:t>
      </w:r>
      <w:r w:rsidR="00E23BC6" w:rsidRPr="00E23BC6">
        <w:t xml:space="preserve"> radio propagation conditions, and the increased mobility of end user devices results in interference being highly intermittent in terms of time, space and frequency</w:t>
      </w:r>
      <w:r w:rsidR="00B136B1">
        <w:t xml:space="preserve"> </w:t>
      </w:r>
      <w:r w:rsidR="00E015AF">
        <w:t>. .</w:t>
      </w:r>
      <w:r w:rsidR="00B136B1">
        <w:t xml:space="preserve"> </w:t>
      </w:r>
      <w:r w:rsidR="00E015AF">
        <w:t>. .</w:t>
      </w:r>
      <w:r w:rsidR="005D0508">
        <w:t>”</w:t>
      </w:r>
      <w:r w:rsidR="00E23BC6" w:rsidRPr="00E23BC6">
        <w:t>)</w:t>
      </w:r>
      <w:r w:rsidR="000321BD">
        <w:t>.</w:t>
      </w:r>
    </w:p>
  </w:footnote>
  <w:footnote w:id="24">
    <w:p w14:paraId="0079A3E0" w14:textId="7CD40999" w:rsidR="00467273" w:rsidRDefault="00467273" w:rsidP="00ED1195">
      <w:pPr>
        <w:pStyle w:val="FootnoteText"/>
      </w:pPr>
      <w:r>
        <w:rPr>
          <w:rStyle w:val="FootnoteReference"/>
        </w:rPr>
        <w:footnoteRef/>
      </w:r>
      <w:r>
        <w:t xml:space="preserve"> </w:t>
      </w:r>
      <w:r w:rsidRPr="000321BD">
        <w:rPr>
          <w:i/>
          <w:iCs/>
        </w:rPr>
        <w:t>Cf</w:t>
      </w:r>
      <w:r>
        <w:t>. Cisco comments, 8 (</w:t>
      </w:r>
      <w:r w:rsidR="005D0508">
        <w:t>“</w:t>
      </w:r>
      <w:r>
        <w:t>R</w:t>
      </w:r>
      <w:r w:rsidRPr="00467630">
        <w:t>eceivers may record levels of interference that may exceed a given HCT for reasons unrelated to particular transmissions</w:t>
      </w:r>
      <w:r>
        <w:t>.</w:t>
      </w:r>
      <w:r w:rsidR="005D0508">
        <w:t>”</w:t>
      </w:r>
      <w:r>
        <w:t>); Garmin comments, 12 (</w:t>
      </w:r>
      <w:r w:rsidR="005D0508">
        <w:t>“</w:t>
      </w:r>
      <w:r>
        <w:t>[T]</w:t>
      </w:r>
      <w:r w:rsidRPr="00196D6E">
        <w:t>he origin of an increase that exceeds an HCT may not be clear – and, therefore, not identifiable.</w:t>
      </w:r>
      <w:r w:rsidR="005D0508">
        <w:t>”</w:t>
      </w:r>
      <w:r>
        <w:t>); NPSTC comments, 9 (</w:t>
      </w:r>
      <w:r w:rsidR="005D0508">
        <w:t>“</w:t>
      </w:r>
      <w:r>
        <w:t>A significant challenge for public safety is ghost interference, i.e., harmful interference where the source is not readily known.</w:t>
      </w:r>
      <w:r w:rsidR="005D0508">
        <w:t>”</w:t>
      </w:r>
      <w:r>
        <w:t>)</w:t>
      </w:r>
      <w:r w:rsidR="00E320DF">
        <w:t>; Peha comments, 4 (“[T]he h</w:t>
      </w:r>
      <w:r w:rsidR="00E320DF" w:rsidRPr="00B84556">
        <w:rPr>
          <w:lang w:val="en"/>
        </w:rPr>
        <w:t xml:space="preserve">arm claim threshold is more difficult to apply when there are multiple sources of interference </w:t>
      </w:r>
      <w:r w:rsidR="00E320DF">
        <w:rPr>
          <w:lang w:val="en"/>
        </w:rPr>
        <w:t>. . . .</w:t>
      </w:r>
      <w:r w:rsidR="00E320DF">
        <w:t>”)</w:t>
      </w:r>
      <w:r>
        <w:t>.</w:t>
      </w:r>
    </w:p>
  </w:footnote>
  <w:footnote w:id="25">
    <w:p w14:paraId="55908178" w14:textId="273CDA9F" w:rsidR="00467273" w:rsidRDefault="00467273" w:rsidP="00ED1195">
      <w:pPr>
        <w:pStyle w:val="FootnoteText"/>
      </w:pPr>
      <w:r>
        <w:rPr>
          <w:rStyle w:val="FootnoteReference"/>
        </w:rPr>
        <w:footnoteRef/>
      </w:r>
      <w:r>
        <w:t xml:space="preserve"> </w:t>
      </w:r>
      <w:r w:rsidRPr="00B92F79">
        <w:rPr>
          <w:i/>
          <w:iCs/>
        </w:rPr>
        <w:t>NOI</w:t>
      </w:r>
      <w:r>
        <w:t>, para. 135.</w:t>
      </w:r>
    </w:p>
  </w:footnote>
  <w:footnote w:id="26">
    <w:p w14:paraId="5AF31BFD" w14:textId="154F5095" w:rsidR="003454EA" w:rsidRDefault="003454EA">
      <w:pPr>
        <w:pStyle w:val="FootnoteText"/>
      </w:pPr>
      <w:r>
        <w:rPr>
          <w:rStyle w:val="FootnoteReference"/>
        </w:rPr>
        <w:footnoteRef/>
      </w:r>
      <w:r>
        <w:t xml:space="preserve"> De Vries comments, 17, 23.</w:t>
      </w:r>
    </w:p>
  </w:footnote>
  <w:footnote w:id="27">
    <w:p w14:paraId="4CBD45BE" w14:textId="77777777" w:rsidR="00EC5839" w:rsidRDefault="00EC5839" w:rsidP="00EC5839">
      <w:pPr>
        <w:pStyle w:val="FootnoteText"/>
      </w:pPr>
      <w:r>
        <w:rPr>
          <w:rStyle w:val="FootnoteReference"/>
        </w:rPr>
        <w:footnoteRef/>
      </w:r>
      <w:r>
        <w:t xml:space="preserve"> Garmin comments, 12.</w:t>
      </w:r>
    </w:p>
  </w:footnote>
  <w:footnote w:id="28">
    <w:p w14:paraId="5451E7F9" w14:textId="5BBDA979" w:rsidR="009E2119" w:rsidRDefault="009E2119">
      <w:pPr>
        <w:pStyle w:val="FootnoteText"/>
      </w:pPr>
      <w:r>
        <w:rPr>
          <w:rStyle w:val="FootnoteReference"/>
        </w:rPr>
        <w:footnoteRef/>
      </w:r>
      <w:r>
        <w:t xml:space="preserve"> </w:t>
      </w:r>
      <w:r w:rsidRPr="009E2119">
        <w:t>Peha comments, 3.</w:t>
      </w:r>
    </w:p>
  </w:footnote>
  <w:footnote w:id="29">
    <w:p w14:paraId="4BF8A39C" w14:textId="3FF5C895" w:rsidR="00F43DCD" w:rsidRDefault="00F43DCD">
      <w:pPr>
        <w:pStyle w:val="FootnoteText"/>
      </w:pPr>
      <w:r>
        <w:rPr>
          <w:rStyle w:val="FootnoteReference"/>
        </w:rPr>
        <w:footnoteRef/>
      </w:r>
      <w:r>
        <w:t xml:space="preserve"> </w:t>
      </w:r>
      <w:r w:rsidRPr="00F43DCD">
        <w:rPr>
          <w:i/>
          <w:iCs/>
        </w:rPr>
        <w:t>See</w:t>
      </w:r>
      <w:r w:rsidRPr="00F43DCD">
        <w:t>,</w:t>
      </w:r>
      <w:r w:rsidRPr="00F43DCD">
        <w:rPr>
          <w:i/>
          <w:iCs/>
        </w:rPr>
        <w:t xml:space="preserve"> e.g.</w:t>
      </w:r>
      <w:r w:rsidRPr="00F43DCD">
        <w:t>, U</w:t>
      </w:r>
      <w:r w:rsidRPr="00F43DCD">
        <w:rPr>
          <w:i/>
          <w:iCs/>
        </w:rPr>
        <w:t>se of Spectrum Bands Above 24 GHz For Mobile Radio Services, et al</w:t>
      </w:r>
      <w:r w:rsidRPr="00F43DCD">
        <w:t>, Report and Order, FNPRM, FCC-16-89, 31 FCC Rcd 8014 (10) (2016), paras. 297–306 (</w:t>
      </w:r>
      <w:r>
        <w:t>u</w:t>
      </w:r>
      <w:r w:rsidRPr="00F43DCD">
        <w:t xml:space="preserve">se of </w:t>
      </w:r>
      <w:r>
        <w:t>c</w:t>
      </w:r>
      <w:r w:rsidRPr="00F43DCD">
        <w:t xml:space="preserve">onductive </w:t>
      </w:r>
      <w:r>
        <w:t>e</w:t>
      </w:r>
      <w:r w:rsidRPr="00F43DCD">
        <w:t xml:space="preserve">mission </w:t>
      </w:r>
      <w:r>
        <w:t>l</w:t>
      </w:r>
      <w:r w:rsidRPr="00F43DCD">
        <w:t>imits)</w:t>
      </w:r>
      <w:r w:rsidR="00D83454">
        <w:t xml:space="preserve">; </w:t>
      </w:r>
      <w:r w:rsidR="004631DB" w:rsidRPr="004631DB">
        <w:t xml:space="preserve">U.S. Dept. of Transp., </w:t>
      </w:r>
      <w:r w:rsidR="004631DB" w:rsidRPr="004631DB">
        <w:rPr>
          <w:i/>
          <w:iCs/>
        </w:rPr>
        <w:t>Analysis of 2016 Proposed Changes to Existing Out of Band Emissions (OOBE) Rules: Adjacent Channel Interference from Unlicensed National Information Infrastructure (UNII) Transmissions into the 5.9 GHz</w:t>
      </w:r>
      <w:r w:rsidR="004631DB" w:rsidRPr="004631DB">
        <w:t xml:space="preserve">, (2018), found at </w:t>
      </w:r>
      <w:hyperlink r:id="rId3" w:history="1">
        <w:r w:rsidR="004631DB" w:rsidRPr="004631DB">
          <w:rPr>
            <w:rStyle w:val="Hyperlink"/>
          </w:rPr>
          <w:t>https://www.transportation.gov/research-and-technology/analysis-2016-proposed-changes-existing-out-band-emissions-oobe-rules</w:t>
        </w:r>
      </w:hyperlink>
      <w:r w:rsidR="0086081E">
        <w:t xml:space="preserve"> (</w:t>
      </w:r>
      <w:r w:rsidR="0086081E" w:rsidRPr="0086081E">
        <w:t>new limits potentially increase interference to DSRC</w:t>
      </w:r>
      <w:r w:rsidR="0086081E">
        <w:t>)</w:t>
      </w:r>
      <w:r w:rsidR="00A76668">
        <w:t>;</w:t>
      </w:r>
      <w:r w:rsidR="004631DB" w:rsidRPr="004631DB">
        <w:t xml:space="preserve"> </w:t>
      </w:r>
      <w:r w:rsidR="004631DB" w:rsidRPr="004631DB">
        <w:rPr>
          <w:i/>
          <w:iCs/>
        </w:rPr>
        <w:t>NTIA Comments Regarding 24 GHz Emission Limits</w:t>
      </w:r>
      <w:r w:rsidR="004631DB" w:rsidRPr="004631DB">
        <w:t xml:space="preserve"> (2021), found at </w:t>
      </w:r>
      <w:hyperlink r:id="rId4" w:history="1">
        <w:r w:rsidR="004631DB" w:rsidRPr="004631DB">
          <w:rPr>
            <w:rStyle w:val="Hyperlink"/>
          </w:rPr>
          <w:t>https://www.ntia.gov/fcc-filing/2021/ntia-comments-regarding-24-ghz-emission-limits</w:t>
        </w:r>
      </w:hyperlink>
      <w:r w:rsidR="004631DB" w:rsidRPr="004631DB">
        <w:t xml:space="preserve"> (NTIA urges </w:t>
      </w:r>
      <w:r w:rsidR="00337A41">
        <w:t xml:space="preserve">the </w:t>
      </w:r>
      <w:r w:rsidR="004631DB" w:rsidRPr="004631DB">
        <w:t>FCC to harmonize domestic 24 GHz OOBE limits with those adopted at WRC-19)</w:t>
      </w:r>
      <w:r w:rsidRPr="00F43DCD">
        <w:t>.</w:t>
      </w:r>
    </w:p>
  </w:footnote>
  <w:footnote w:id="30">
    <w:p w14:paraId="47A59D89" w14:textId="39C6EE66" w:rsidR="00AF71B2" w:rsidRDefault="00AF71B2">
      <w:pPr>
        <w:pStyle w:val="FootnoteText"/>
      </w:pPr>
      <w:r>
        <w:rPr>
          <w:rStyle w:val="FootnoteReference"/>
        </w:rPr>
        <w:footnoteRef/>
      </w:r>
      <w:r>
        <w:t xml:space="preserve"> </w:t>
      </w:r>
      <w:r w:rsidRPr="00AF71B2">
        <w:rPr>
          <w:i/>
          <w:iCs/>
        </w:rPr>
        <w:t>See, e.g.,</w:t>
      </w:r>
      <w:r w:rsidRPr="00AF71B2">
        <w:t xml:space="preserve"> Garmin comments, 15 (</w:t>
      </w:r>
      <w:r w:rsidR="005D0508">
        <w:t>“</w:t>
      </w:r>
      <w:r w:rsidR="00F55A49">
        <w:t>[</w:t>
      </w:r>
      <w:r w:rsidR="00565FF8">
        <w:t>P</w:t>
      </w:r>
      <w:r w:rsidR="00F55A49">
        <w:t>]</w:t>
      </w:r>
      <w:r w:rsidRPr="00AF71B2">
        <w:t xml:space="preserve">robabilistic methods and models </w:t>
      </w:r>
      <w:r w:rsidR="00E015AF">
        <w:t>. .</w:t>
      </w:r>
      <w:r w:rsidR="00F55A49">
        <w:t xml:space="preserve"> .</w:t>
      </w:r>
      <w:r w:rsidRPr="00AF71B2">
        <w:t xml:space="preserve"> are subject to varying assumptions and interpretations that diverge quickly for dissimilar services</w:t>
      </w:r>
      <w:r w:rsidR="006D30CA">
        <w:t xml:space="preserve"> </w:t>
      </w:r>
      <w:r w:rsidR="00E015AF">
        <w:t>. .</w:t>
      </w:r>
      <w:r w:rsidR="00C56555">
        <w:t> </w:t>
      </w:r>
      <w:r w:rsidR="00E015AF">
        <w:t>. .</w:t>
      </w:r>
      <w:r w:rsidRPr="00AF71B2">
        <w:t xml:space="preserve"> Probabilistic risk analysis also has the potential to mask the magnitude of interference to safety-of-life services.</w:t>
      </w:r>
      <w:r w:rsidR="005D0508">
        <w:t>”</w:t>
      </w:r>
      <w:r w:rsidRPr="00AF71B2">
        <w:t>), 12 (</w:t>
      </w:r>
      <w:r w:rsidR="005D0508">
        <w:t>“</w:t>
      </w:r>
      <w:r w:rsidRPr="00AF71B2">
        <w:t>[F]undamental questions exist as to whether it would be practical to implement HCTs based on probabilistic models, for determining interference to navigation systems.</w:t>
      </w:r>
      <w:r w:rsidR="005D0508">
        <w:t>”</w:t>
      </w:r>
      <w:r w:rsidRPr="00AF71B2">
        <w:t>); NPSTC comments, 5 (</w:t>
      </w:r>
      <w:r w:rsidR="005D0508">
        <w:t>“</w:t>
      </w:r>
      <w:r w:rsidR="006D30CA">
        <w:t>[H]</w:t>
      </w:r>
      <w:r w:rsidRPr="00AF71B2">
        <w:t xml:space="preserve">harm claim thresholds </w:t>
      </w:r>
      <w:r w:rsidR="006D30CA">
        <w:t>[are not]</w:t>
      </w:r>
      <w:r w:rsidRPr="00AF71B2">
        <w:t xml:space="preserve"> viable in the real world with respect to public safety</w:t>
      </w:r>
      <w:r w:rsidR="00053305">
        <w:t>.</w:t>
      </w:r>
      <w:r w:rsidR="005D0508">
        <w:t>”</w:t>
      </w:r>
      <w:r w:rsidRPr="00AF71B2">
        <w:t>).</w:t>
      </w:r>
    </w:p>
  </w:footnote>
  <w:footnote w:id="31">
    <w:p w14:paraId="029BADE8" w14:textId="4C7A360C" w:rsidR="000610A9" w:rsidRDefault="000610A9" w:rsidP="00D1248B">
      <w:pPr>
        <w:pStyle w:val="FootnoteText"/>
      </w:pPr>
      <w:r>
        <w:rPr>
          <w:rStyle w:val="FootnoteReference"/>
        </w:rPr>
        <w:footnoteRef/>
      </w:r>
      <w:r>
        <w:t xml:space="preserve"> </w:t>
      </w:r>
      <w:r w:rsidRPr="00DE35F8">
        <w:rPr>
          <w:i/>
          <w:iCs/>
        </w:rPr>
        <w:t>Cf.</w:t>
      </w:r>
      <w:r w:rsidRPr="000610A9">
        <w:t xml:space="preserve"> </w:t>
      </w:r>
      <w:r w:rsidR="003B6E00" w:rsidRPr="003B6E00">
        <w:t xml:space="preserve">Nuclear Regulatory Commission, </w:t>
      </w:r>
      <w:r w:rsidR="003B6E00" w:rsidRPr="003B6E00">
        <w:rPr>
          <w:i/>
          <w:iCs/>
        </w:rPr>
        <w:t>An Approach for Using Probabilistic Risk Assessment in Risk-Informed Decisions on Plant-Specific Changes to the Licensing Basis</w:t>
      </w:r>
      <w:r w:rsidR="003B6E00" w:rsidRPr="003B6E00">
        <w:t xml:space="preserve">, Revision 3 to Regulatory Guide (RG) 1.174, 83 FR 4520 (2018), found at </w:t>
      </w:r>
      <w:hyperlink r:id="rId5" w:history="1">
        <w:r w:rsidR="003B6E00" w:rsidRPr="003B6E00">
          <w:rPr>
            <w:rStyle w:val="Hyperlink"/>
          </w:rPr>
          <w:t>https://www.federalregister.gov/documents/2018/01/31/2018-01901/an-approach-for-using-probabilistic-risk-assessment-in-risk-informed-decisions-on-plant-specific</w:t>
        </w:r>
      </w:hyperlink>
      <w:r w:rsidRPr="000610A9">
        <w:t xml:space="preserve">; Federal Aviation Administration, </w:t>
      </w:r>
      <w:r w:rsidRPr="000610A9">
        <w:rPr>
          <w:i/>
          <w:iCs/>
        </w:rPr>
        <w:t>Safety Risk Management Policy</w:t>
      </w:r>
      <w:r w:rsidRPr="000610A9">
        <w:t xml:space="preserve"> (2017), </w:t>
      </w:r>
      <w:r w:rsidR="00151E12">
        <w:t>14</w:t>
      </w:r>
      <w:r w:rsidR="0062437C">
        <w:t>,</w:t>
      </w:r>
      <w:r w:rsidR="0062437C" w:rsidRPr="0062437C">
        <w:t xml:space="preserve"> </w:t>
      </w:r>
      <w:r w:rsidR="0062437C" w:rsidRPr="000610A9">
        <w:t xml:space="preserve">found at </w:t>
      </w:r>
      <w:hyperlink r:id="rId6" w:history="1">
        <w:r w:rsidR="0062437C" w:rsidRPr="00FB476B">
          <w:rPr>
            <w:rStyle w:val="Hyperlink"/>
          </w:rPr>
          <w:t>https://www.faa.gov/documentLibrary/media/Order/FAA_Order_8040.4B.pdf</w:t>
        </w:r>
      </w:hyperlink>
      <w:r w:rsidR="002C7A12">
        <w:t xml:space="preserve"> </w:t>
      </w:r>
      <w:r w:rsidR="003861F9">
        <w:t>(“When sufficient empirical data exists, statistical probabilities should be used.”).</w:t>
      </w:r>
    </w:p>
  </w:footnote>
  <w:footnote w:id="32">
    <w:p w14:paraId="46800E91" w14:textId="77777777" w:rsidR="007E7C52" w:rsidRDefault="007E7C52" w:rsidP="007E7C52">
      <w:pPr>
        <w:pStyle w:val="FootnoteText"/>
      </w:pPr>
      <w:r>
        <w:rPr>
          <w:rStyle w:val="FootnoteReference"/>
        </w:rPr>
        <w:footnoteRef/>
      </w:r>
      <w:r>
        <w:t xml:space="preserve"> </w:t>
      </w:r>
      <w:r w:rsidRPr="002705E6">
        <w:t xml:space="preserve">Janne Riihijärvi, Petri Mähönen &amp; J. Pierre De Vries, </w:t>
      </w:r>
      <w:r w:rsidRPr="002705E6">
        <w:rPr>
          <w:i/>
          <w:iCs/>
        </w:rPr>
        <w:t>Statistical Inference on Spectrum Data for Design and Enforcement of Harm Claim Thresholds</w:t>
      </w:r>
      <w:r w:rsidRPr="002705E6">
        <w:t xml:space="preserve">, 3 IEEE Trans. on Cognitive Comm. &amp; Networking 520–533 (2017) (Riihijärvi et al.), found at </w:t>
      </w:r>
      <w:hyperlink r:id="rId7">
        <w:r w:rsidRPr="002705E6">
          <w:rPr>
            <w:rStyle w:val="Hyperlink"/>
          </w:rPr>
          <w:t>https://ieeexplore.ieee.org/document/8022976</w:t>
        </w:r>
      </w:hyperlink>
      <w:r w:rsidRPr="002705E6">
        <w:t>.</w:t>
      </w:r>
    </w:p>
  </w:footnote>
  <w:footnote w:id="33">
    <w:p w14:paraId="39BB9D07" w14:textId="50FDE0EC" w:rsidR="007E7C52" w:rsidRDefault="007E7C52" w:rsidP="007E7C52">
      <w:pPr>
        <w:pStyle w:val="FootnoteText"/>
      </w:pPr>
      <w:r>
        <w:rPr>
          <w:rStyle w:val="FootnoteReference"/>
        </w:rPr>
        <w:footnoteRef/>
      </w:r>
      <w:r>
        <w:t xml:space="preserve"> </w:t>
      </w:r>
      <w:r w:rsidRPr="00FD7A5D">
        <w:rPr>
          <w:i/>
          <w:iCs/>
        </w:rPr>
        <w:t>Contra</w:t>
      </w:r>
      <w:r>
        <w:t xml:space="preserve"> </w:t>
      </w:r>
      <w:r w:rsidRPr="00F005AC">
        <w:t xml:space="preserve">Garmin </w:t>
      </w:r>
      <w:r>
        <w:t>comments</w:t>
      </w:r>
      <w:r w:rsidRPr="00F005AC">
        <w:t>, 9 (</w:t>
      </w:r>
      <w:r w:rsidR="005D0508">
        <w:t>“</w:t>
      </w:r>
      <w:r w:rsidRPr="00F005AC">
        <w:t xml:space="preserve">Probabilistic methods for projecting and predicting interference utilized with HCTs also raise special concerns since they are subject to varying assumptions and interpretations </w:t>
      </w:r>
      <w:r w:rsidR="00E015AF">
        <w:t>. .</w:t>
      </w:r>
      <w:r>
        <w:t xml:space="preserve"> </w:t>
      </w:r>
      <w:r w:rsidR="00E015AF">
        <w:t>. .</w:t>
      </w:r>
      <w:r w:rsidR="005D0508">
        <w:t>”</w:t>
      </w:r>
      <w:r w:rsidRPr="00F005AC">
        <w:t>).</w:t>
      </w:r>
    </w:p>
  </w:footnote>
  <w:footnote w:id="34">
    <w:p w14:paraId="6D83F2E7" w14:textId="692AE46F" w:rsidR="007E7C52" w:rsidRDefault="007E7C52" w:rsidP="007E7C52">
      <w:pPr>
        <w:pStyle w:val="FootnoteText"/>
      </w:pPr>
      <w:r>
        <w:rPr>
          <w:rStyle w:val="FootnoteReference"/>
        </w:rPr>
        <w:footnoteRef/>
      </w:r>
      <w:r>
        <w:t xml:space="preserve"> Motorola comments, 4–5 (</w:t>
      </w:r>
      <w:r w:rsidR="005D0508">
        <w:t>“</w:t>
      </w:r>
      <w:r w:rsidRPr="000B25C6">
        <w:t>Resiliency and survivability are the fundamental design criteria</w:t>
      </w:r>
      <w:r>
        <w:t xml:space="preserve"> </w:t>
      </w:r>
      <w:r w:rsidRPr="00E12EFF">
        <w:t>for every radio that MSI makes for mission critical services</w:t>
      </w:r>
      <w:r>
        <w:t>.</w:t>
      </w:r>
      <w:r w:rsidR="005D0508">
        <w:t>”</w:t>
      </w:r>
      <w:r>
        <w:t>).</w:t>
      </w:r>
    </w:p>
  </w:footnote>
  <w:footnote w:id="35">
    <w:p w14:paraId="226145B0" w14:textId="7AAD1662" w:rsidR="00ED1195" w:rsidRDefault="00ED1195" w:rsidP="00ED1195">
      <w:pPr>
        <w:pStyle w:val="FootnoteText"/>
      </w:pPr>
      <w:r>
        <w:rPr>
          <w:rStyle w:val="FootnoteReference"/>
        </w:rPr>
        <w:footnoteRef/>
      </w:r>
      <w:r>
        <w:t xml:space="preserve"> Shure comments, 8 (</w:t>
      </w:r>
      <w:r w:rsidR="005D0508">
        <w:t>“</w:t>
      </w:r>
      <w:r w:rsidR="008179D2">
        <w:t>[I]</w:t>
      </w:r>
      <w:r w:rsidRPr="00DB77CD">
        <w:t xml:space="preserve">t is almost impossible to specify meaningful interference limits </w:t>
      </w:r>
      <w:r w:rsidR="00E015AF">
        <w:t>. .</w:t>
      </w:r>
      <w:r w:rsidR="00C56555">
        <w:t> </w:t>
      </w:r>
      <w:r w:rsidR="00E015AF">
        <w:t>. .</w:t>
      </w:r>
      <w:r w:rsidR="00AF71B2">
        <w:t xml:space="preserve"> </w:t>
      </w:r>
      <w:r w:rsidRPr="00DB77CD">
        <w:t xml:space="preserve">A virtually unlimited number of measurement campaigns would be required </w:t>
      </w:r>
      <w:r w:rsidR="00E015AF">
        <w:t>. .</w:t>
      </w:r>
      <w:r w:rsidR="008179D2">
        <w:t xml:space="preserve"> </w:t>
      </w:r>
      <w:r w:rsidR="00E015AF">
        <w:t>. .</w:t>
      </w:r>
      <w:r w:rsidR="005D0508">
        <w:t>”</w:t>
      </w:r>
      <w:r>
        <w:t>).</w:t>
      </w:r>
    </w:p>
  </w:footnote>
  <w:footnote w:id="36">
    <w:p w14:paraId="5696085B" w14:textId="77777777" w:rsidR="00742CED" w:rsidRDefault="00742CED" w:rsidP="00742CED">
      <w:pPr>
        <w:pStyle w:val="FootnoteText"/>
      </w:pPr>
      <w:r>
        <w:rPr>
          <w:rStyle w:val="FootnoteReference"/>
        </w:rPr>
        <w:footnoteRef/>
      </w:r>
      <w:r>
        <w:t xml:space="preserve"> Garmin comments, 10.</w:t>
      </w:r>
    </w:p>
  </w:footnote>
  <w:footnote w:id="37">
    <w:p w14:paraId="54CB6B91" w14:textId="77777777" w:rsidR="00742CED" w:rsidRDefault="00742CED" w:rsidP="00742CED">
      <w:pPr>
        <w:pStyle w:val="FootnoteText"/>
      </w:pPr>
      <w:r>
        <w:rPr>
          <w:rStyle w:val="FootnoteReference"/>
        </w:rPr>
        <w:footnoteRef/>
      </w:r>
      <w:r>
        <w:t xml:space="preserve"> Garmin comments, 9.</w:t>
      </w:r>
    </w:p>
  </w:footnote>
  <w:footnote w:id="38">
    <w:p w14:paraId="22BAD143" w14:textId="77777777" w:rsidR="00664A56" w:rsidRDefault="00664A56" w:rsidP="00664A56">
      <w:pPr>
        <w:pStyle w:val="FootnoteText"/>
      </w:pPr>
      <w:r>
        <w:rPr>
          <w:rStyle w:val="FootnoteReference"/>
        </w:rPr>
        <w:footnoteRef/>
      </w:r>
      <w:r>
        <w:t xml:space="preserve"> De Vries comments, 28–30.</w:t>
      </w:r>
    </w:p>
  </w:footnote>
  <w:footnote w:id="39">
    <w:p w14:paraId="69DE4B43" w14:textId="16305640" w:rsidR="00ED1195" w:rsidRDefault="00ED1195" w:rsidP="00ED1195">
      <w:pPr>
        <w:pStyle w:val="FootnoteText"/>
      </w:pPr>
      <w:r>
        <w:rPr>
          <w:rStyle w:val="FootnoteReference"/>
        </w:rPr>
        <w:footnoteRef/>
      </w:r>
      <w:r>
        <w:t xml:space="preserve"> De Vries comments, 1; </w:t>
      </w:r>
      <w:r w:rsidRPr="00AD524C">
        <w:rPr>
          <w:i/>
          <w:iCs/>
        </w:rPr>
        <w:t>see also</w:t>
      </w:r>
      <w:r>
        <w:t xml:space="preserve"> </w:t>
      </w:r>
      <w:r w:rsidR="0003649A" w:rsidRPr="005035D3">
        <w:rPr>
          <w:i/>
          <w:iCs/>
        </w:rPr>
        <w:t xml:space="preserve">TAC </w:t>
      </w:r>
      <w:r w:rsidR="0003649A">
        <w:rPr>
          <w:i/>
          <w:iCs/>
        </w:rPr>
        <w:t>IL/HCT</w:t>
      </w:r>
      <w:r w:rsidR="0003649A" w:rsidRPr="005035D3">
        <w:rPr>
          <w:i/>
          <w:iCs/>
        </w:rPr>
        <w:t xml:space="preserve"> Introduction</w:t>
      </w:r>
      <w:r w:rsidRPr="002F61FA">
        <w:t>, Section 1</w:t>
      </w:r>
      <w:r>
        <w:t xml:space="preserve"> (</w:t>
      </w:r>
      <w:r w:rsidR="005D0508">
        <w:t>“</w:t>
      </w:r>
      <w:r w:rsidRPr="002F61FA">
        <w:t>Harm claim thresholds[:] In-band &amp; out-of-band interfering signals that must be exceeded before a system can claim that it is experiencing harmful interference</w:t>
      </w:r>
      <w:r>
        <w:t>.</w:t>
      </w:r>
      <w:r w:rsidR="005D0508">
        <w:t>”</w:t>
      </w:r>
      <w:r>
        <w:t>).</w:t>
      </w:r>
    </w:p>
  </w:footnote>
  <w:footnote w:id="40">
    <w:p w14:paraId="70CCC81B" w14:textId="53DC1A17" w:rsidR="00064FA3" w:rsidRDefault="00064FA3" w:rsidP="00064FA3">
      <w:pPr>
        <w:pStyle w:val="FootnoteText"/>
      </w:pPr>
      <w:r>
        <w:rPr>
          <w:rStyle w:val="FootnoteReference"/>
        </w:rPr>
        <w:footnoteRef/>
      </w:r>
      <w:r>
        <w:t xml:space="preserve"> </w:t>
      </w:r>
      <w:r w:rsidRPr="002F61FA">
        <w:rPr>
          <w:i/>
          <w:iCs/>
        </w:rPr>
        <w:t>Contra</w:t>
      </w:r>
      <w:r>
        <w:t xml:space="preserve"> </w:t>
      </w:r>
      <w:r w:rsidR="00F81EFB">
        <w:t>Intel comments, 14 (“</w:t>
      </w:r>
      <w:r w:rsidR="00F81EFB" w:rsidRPr="00F81EFB">
        <w:t>We are concerned this could lead to frivolous claims and assertions of rights to impose remediation on another party.</w:t>
      </w:r>
      <w:r w:rsidR="00F81EFB">
        <w:t xml:space="preserve">”); </w:t>
      </w:r>
      <w:r>
        <w:t>Cisco</w:t>
      </w:r>
      <w:r w:rsidR="00F81EFB">
        <w:t xml:space="preserve"> comments</w:t>
      </w:r>
      <w:r>
        <w:t>, 8 (</w:t>
      </w:r>
      <w:r w:rsidR="005D0508">
        <w:t>“</w:t>
      </w:r>
      <w:r w:rsidRPr="002F61FA">
        <w:t xml:space="preserve">The Commission could be flooded with innumerable claims of HCT </w:t>
      </w:r>
      <w:r w:rsidR="005D0508">
        <w:t>‘</w:t>
      </w:r>
      <w:r w:rsidRPr="002F61FA">
        <w:t>violations,</w:t>
      </w:r>
      <w:r w:rsidR="005D0508">
        <w:t>’</w:t>
      </w:r>
      <w:r w:rsidRPr="002F61FA">
        <w:t xml:space="preserve"> placing significant investigatory and </w:t>
      </w:r>
      <w:r w:rsidR="005D0508">
        <w:t>‘</w:t>
      </w:r>
      <w:r w:rsidRPr="002F61FA">
        <w:t>policing</w:t>
      </w:r>
      <w:r w:rsidR="005D0508">
        <w:t>’</w:t>
      </w:r>
      <w:r w:rsidRPr="002F61FA">
        <w:t xml:space="preserve"> burdens on Commission spectrum enforcement staff</w:t>
      </w:r>
      <w:r>
        <w:t>.</w:t>
      </w:r>
      <w:r w:rsidR="005D0508">
        <w:t>”</w:t>
      </w:r>
      <w:r>
        <w:t>).</w:t>
      </w:r>
    </w:p>
  </w:footnote>
  <w:footnote w:id="41">
    <w:p w14:paraId="4F78F8A2" w14:textId="4F419195" w:rsidR="00ED1195" w:rsidRDefault="00ED1195" w:rsidP="00ED1195">
      <w:pPr>
        <w:pStyle w:val="FootnoteText"/>
      </w:pPr>
      <w:r>
        <w:rPr>
          <w:rStyle w:val="FootnoteReference"/>
        </w:rPr>
        <w:footnoteRef/>
      </w:r>
      <w:r>
        <w:t xml:space="preserve"> </w:t>
      </w:r>
      <w:r w:rsidR="00A00753">
        <w:rPr>
          <w:i/>
          <w:iCs/>
        </w:rPr>
        <w:t>See, e.g.</w:t>
      </w:r>
      <w:r>
        <w:t xml:space="preserve">, </w:t>
      </w:r>
      <w:r w:rsidR="008F5100" w:rsidRPr="002A72D5">
        <w:t>Riihijärvi et al.</w:t>
      </w:r>
      <w:r w:rsidR="004A08AC">
        <w:t xml:space="preserve">, </w:t>
      </w:r>
      <w:r>
        <w:t xml:space="preserve">Section VI.D. </w:t>
      </w:r>
      <w:r w:rsidRPr="002F61FA">
        <w:rPr>
          <w:i/>
          <w:iCs/>
        </w:rPr>
        <w:t>But cf.</w:t>
      </w:r>
      <w:r>
        <w:t xml:space="preserve"> Peha comments, 4 (</w:t>
      </w:r>
      <w:r w:rsidR="005D0508">
        <w:t>“</w:t>
      </w:r>
      <w:r w:rsidRPr="002F61FA">
        <w:t>Useful proposals have been made, but the work is not done.</w:t>
      </w:r>
      <w:r w:rsidR="005D0508">
        <w:t>”</w:t>
      </w:r>
      <w:r>
        <w:t>).</w:t>
      </w:r>
    </w:p>
  </w:footnote>
  <w:footnote w:id="42">
    <w:p w14:paraId="402BA2B6" w14:textId="433EA4E1" w:rsidR="002A2922" w:rsidRDefault="002A2922">
      <w:pPr>
        <w:pStyle w:val="FootnoteText"/>
      </w:pPr>
      <w:r>
        <w:rPr>
          <w:rStyle w:val="FootnoteReference"/>
        </w:rPr>
        <w:footnoteRef/>
      </w:r>
      <w:r>
        <w:t xml:space="preserve"> </w:t>
      </w:r>
      <w:r w:rsidRPr="008E0267">
        <w:rPr>
          <w:i/>
          <w:iCs/>
        </w:rPr>
        <w:t>See</w:t>
      </w:r>
      <w:r>
        <w:t xml:space="preserve">, </w:t>
      </w:r>
      <w:r w:rsidRPr="008E0267">
        <w:rPr>
          <w:i/>
          <w:iCs/>
        </w:rPr>
        <w:t>e.g.</w:t>
      </w:r>
      <w:r>
        <w:t xml:space="preserve">, </w:t>
      </w:r>
      <w:hyperlink r:id="rId8" w:history="1">
        <w:r w:rsidR="008E0267" w:rsidRPr="00FB476B">
          <w:rPr>
            <w:rStyle w:val="Hyperlink"/>
          </w:rPr>
          <w:t>https://duckduckgo.com/?q=interference+hunting</w:t>
        </w:r>
      </w:hyperlink>
      <w:r w:rsidR="008728FC">
        <w:t>;</w:t>
      </w:r>
      <w:r w:rsidR="008E0267">
        <w:t xml:space="preserve"> </w:t>
      </w:r>
      <w:hyperlink r:id="rId9" w:history="1">
        <w:r w:rsidR="008728FC" w:rsidRPr="00FB476B">
          <w:rPr>
            <w:rStyle w:val="Hyperlink"/>
          </w:rPr>
          <w:t>https://duckduckgo.com/?q=rf+drive+test</w:t>
        </w:r>
      </w:hyperlink>
      <w:r w:rsidR="008728FC">
        <w:t xml:space="preserve">; </w:t>
      </w:r>
      <w:r w:rsidR="008C3BF3" w:rsidRPr="00C67F85">
        <w:t>Spectrum Monitoring, ITS: The Nation</w:t>
      </w:r>
      <w:r w:rsidR="005D0508">
        <w:t>’</w:t>
      </w:r>
      <w:r w:rsidR="008C3BF3" w:rsidRPr="00C67F85">
        <w:t xml:space="preserve">s Spectrum and Communications Lab, </w:t>
      </w:r>
      <w:hyperlink r:id="rId10" w:history="1">
        <w:r w:rsidR="008C3BF3" w:rsidRPr="00C67F85">
          <w:rPr>
            <w:rStyle w:val="Hyperlink"/>
          </w:rPr>
          <w:t>https://its.ntia.gov/research-topics/spectrum-management-r-d/spectrum-monitoring</w:t>
        </w:r>
      </w:hyperlink>
      <w:r w:rsidR="008C3BF3" w:rsidRPr="00C67F85">
        <w:t xml:space="preserve"> (last visited Jul 20, 2022).</w:t>
      </w:r>
    </w:p>
  </w:footnote>
  <w:footnote w:id="43">
    <w:p w14:paraId="5A0E4782" w14:textId="7C7D49AA" w:rsidR="001B2728" w:rsidRDefault="001B2728" w:rsidP="001B2728">
      <w:pPr>
        <w:pStyle w:val="FootnoteText"/>
      </w:pPr>
      <w:r>
        <w:rPr>
          <w:rStyle w:val="FootnoteReference"/>
        </w:rPr>
        <w:footnoteRef/>
      </w:r>
      <w:r>
        <w:t xml:space="preserve"> </w:t>
      </w:r>
      <w:r w:rsidRPr="00BD19F1">
        <w:t xml:space="preserve">Ofcom, </w:t>
      </w:r>
      <w:r w:rsidRPr="00BD19F1">
        <w:rPr>
          <w:i/>
          <w:iCs/>
        </w:rPr>
        <w:t>Spectrum Usage Rights: A guide describing SURs</w:t>
      </w:r>
      <w:r w:rsidRPr="00BD19F1">
        <w:t xml:space="preserve"> (2008) (</w:t>
      </w:r>
      <w:r w:rsidRPr="00BD19F1">
        <w:rPr>
          <w:i/>
          <w:iCs/>
        </w:rPr>
        <w:t>SURs Guide</w:t>
      </w:r>
      <w:r w:rsidRPr="00BD19F1">
        <w:t xml:space="preserve">), Section 6, found at </w:t>
      </w:r>
      <w:hyperlink r:id="rId11">
        <w:r w:rsidRPr="00BD19F1">
          <w:rPr>
            <w:rStyle w:val="Hyperlink"/>
          </w:rPr>
          <w:t>https://web.archive.org/web/20080728142003/http://www.ofcom.org.uk/radiocomms/isu/sursguide/sursguide.pdf</w:t>
        </w:r>
      </w:hyperlink>
      <w:r w:rsidRPr="00BD19F1">
        <w:t>.</w:t>
      </w:r>
    </w:p>
  </w:footnote>
  <w:footnote w:id="44">
    <w:p w14:paraId="3496A09B" w14:textId="3C0EFDC2" w:rsidR="00774E4C" w:rsidRDefault="00774E4C">
      <w:pPr>
        <w:pStyle w:val="FootnoteText"/>
      </w:pPr>
      <w:r>
        <w:rPr>
          <w:rStyle w:val="FootnoteReference"/>
        </w:rPr>
        <w:footnoteRef/>
      </w:r>
      <w:r>
        <w:t xml:space="preserve"> </w:t>
      </w:r>
      <w:r w:rsidRPr="00574937">
        <w:rPr>
          <w:i/>
          <w:iCs/>
        </w:rPr>
        <w:t>Contra</w:t>
      </w:r>
      <w:r>
        <w:t xml:space="preserve"> Intel </w:t>
      </w:r>
      <w:r w:rsidR="00BB03B0">
        <w:t>comments, 12 (</w:t>
      </w:r>
      <w:r w:rsidR="005D0508">
        <w:t>“</w:t>
      </w:r>
      <w:r w:rsidR="00BB03B0" w:rsidRPr="00BB03B0">
        <w:t>UK Ofcom</w:t>
      </w:r>
      <w:r w:rsidR="005D0508">
        <w:t>’</w:t>
      </w:r>
      <w:r w:rsidR="00BB03B0" w:rsidRPr="00BB03B0">
        <w:t>s Version of HCT, Called SUR</w:t>
      </w:r>
      <w:r w:rsidR="009F4C2C">
        <w:t xml:space="preserve"> </w:t>
      </w:r>
      <w:r w:rsidR="00E015AF">
        <w:t>. .</w:t>
      </w:r>
      <w:r w:rsidR="009F4C2C">
        <w:t xml:space="preserve"> </w:t>
      </w:r>
      <w:r w:rsidR="00E015AF">
        <w:t>. .</w:t>
      </w:r>
      <w:r w:rsidR="005D0508">
        <w:t>”</w:t>
      </w:r>
      <w:r w:rsidR="00BB03B0">
        <w:t>)</w:t>
      </w:r>
      <w:r w:rsidR="009F4C2C">
        <w:t>. A SUR is a transmission system license, while a</w:t>
      </w:r>
      <w:r w:rsidR="003230AE">
        <w:t>n HCT</w:t>
      </w:r>
      <w:r w:rsidR="009F4C2C">
        <w:t xml:space="preserve"> </w:t>
      </w:r>
      <w:r w:rsidR="00574937">
        <w:t xml:space="preserve">allows </w:t>
      </w:r>
      <w:r w:rsidR="003230AE">
        <w:t xml:space="preserve">a receiving system </w:t>
      </w:r>
      <w:r w:rsidR="00574937">
        <w:t>to seek</w:t>
      </w:r>
      <w:r w:rsidR="00F04153">
        <w:t xml:space="preserve"> protection against harmful interference.</w:t>
      </w:r>
    </w:p>
  </w:footnote>
  <w:footnote w:id="45">
    <w:p w14:paraId="56CC8F09" w14:textId="77777777" w:rsidR="00AE17EB" w:rsidRDefault="00AE17EB" w:rsidP="00AE17EB">
      <w:pPr>
        <w:pStyle w:val="FootnoteText"/>
      </w:pPr>
      <w:r>
        <w:rPr>
          <w:rStyle w:val="FootnoteReference"/>
        </w:rPr>
        <w:footnoteRef/>
      </w:r>
      <w:r>
        <w:t xml:space="preserve"> </w:t>
      </w:r>
      <w:r>
        <w:rPr>
          <w:i/>
          <w:iCs/>
        </w:rPr>
        <w:t>SURs Guide</w:t>
      </w:r>
      <w:r>
        <w:t>, para. 6.16.</w:t>
      </w:r>
    </w:p>
  </w:footnote>
  <w:footnote w:id="46">
    <w:p w14:paraId="00982849" w14:textId="77777777" w:rsidR="00AE17EB" w:rsidRDefault="00AE17EB" w:rsidP="00AE17EB">
      <w:pPr>
        <w:pStyle w:val="FootnoteText"/>
      </w:pPr>
      <w:r>
        <w:rPr>
          <w:rStyle w:val="FootnoteReference"/>
        </w:rPr>
        <w:footnoteRef/>
      </w:r>
      <w:r>
        <w:t xml:space="preserve"> </w:t>
      </w:r>
      <w:r>
        <w:rPr>
          <w:i/>
          <w:iCs/>
        </w:rPr>
        <w:t>SURs Guide</w:t>
      </w:r>
      <w:r>
        <w:t>, para. 6.15.</w:t>
      </w:r>
    </w:p>
  </w:footnote>
  <w:footnote w:id="47">
    <w:p w14:paraId="4C74F9AC" w14:textId="06F0903B" w:rsidR="00ED1195" w:rsidRDefault="00ED1195" w:rsidP="00ED1195">
      <w:pPr>
        <w:pStyle w:val="FootnoteText"/>
      </w:pPr>
      <w:r>
        <w:rPr>
          <w:rStyle w:val="FootnoteReference"/>
        </w:rPr>
        <w:footnoteRef/>
      </w:r>
      <w:r>
        <w:t xml:space="preserve"> Cisco comments, 8 (</w:t>
      </w:r>
      <w:r w:rsidR="005D0508">
        <w:t>“</w:t>
      </w:r>
      <w:r w:rsidRPr="00C22F5E">
        <w:t xml:space="preserve">HCTs would place the burden of proof on the </w:t>
      </w:r>
      <w:r w:rsidR="005D0508">
        <w:t>“</w:t>
      </w:r>
      <w:r w:rsidRPr="00C22F5E">
        <w:t>victim</w:t>
      </w:r>
      <w:r w:rsidR="005D0508">
        <w:t>”</w:t>
      </w:r>
      <w:r w:rsidRPr="00C22F5E">
        <w:t xml:space="preserve"> of interference by requiring the receiver to record or otherwise capture the level of interference at a specific time</w:t>
      </w:r>
      <w:r>
        <w:t>.</w:t>
      </w:r>
      <w:r w:rsidR="005D0508">
        <w:t>”</w:t>
      </w:r>
      <w:r>
        <w:t>); Garmin comments, 10 (</w:t>
      </w:r>
      <w:r w:rsidR="005D0508">
        <w:t>“</w:t>
      </w:r>
      <w:r>
        <w:t>[U]</w:t>
      </w:r>
      <w:r w:rsidRPr="00DA66E4">
        <w:t>se of HCTs breaks with regulatory precedents and reassigns the burden of proving interference on incumbents. The HCT approach also places the burden of policing interference on existing spectrum users</w:t>
      </w:r>
      <w:r w:rsidR="00373690">
        <w:t xml:space="preserve"> </w:t>
      </w:r>
      <w:r w:rsidR="00E015AF">
        <w:t>. .</w:t>
      </w:r>
      <w:r w:rsidR="00C80FC9">
        <w:t> </w:t>
      </w:r>
      <w:r w:rsidR="00E015AF">
        <w:t>. .</w:t>
      </w:r>
      <w:r w:rsidR="005D0508">
        <w:t>”</w:t>
      </w:r>
      <w:r>
        <w:t>).</w:t>
      </w:r>
    </w:p>
  </w:footnote>
  <w:footnote w:id="48">
    <w:p w14:paraId="2F4E02CF" w14:textId="65FB956D" w:rsidR="00CE4603" w:rsidRDefault="00CE4603">
      <w:pPr>
        <w:pStyle w:val="FootnoteText"/>
      </w:pPr>
      <w:r>
        <w:rPr>
          <w:rStyle w:val="FootnoteReference"/>
        </w:rPr>
        <w:footnoteRef/>
      </w:r>
      <w:r>
        <w:t xml:space="preserve"> </w:t>
      </w:r>
      <w:r w:rsidRPr="00CE4603">
        <w:rPr>
          <w:i/>
          <w:iCs/>
        </w:rPr>
        <w:t>Cf</w:t>
      </w:r>
      <w:r>
        <w:t xml:space="preserve">. </w:t>
      </w:r>
      <w:r w:rsidR="006375AE" w:rsidRPr="006375AE">
        <w:t xml:space="preserve">Peter A. Tenhula, </w:t>
      </w:r>
      <w:r w:rsidR="006375AE" w:rsidRPr="006375AE">
        <w:rPr>
          <w:i/>
          <w:iCs/>
        </w:rPr>
        <w:t xml:space="preserve">Enforcement of Spectrum Usage Rights: Fair and Expedient Resolution of </w:t>
      </w:r>
      <w:r w:rsidR="005D0508">
        <w:rPr>
          <w:i/>
          <w:iCs/>
        </w:rPr>
        <w:t>“</w:t>
      </w:r>
      <w:r w:rsidR="006375AE" w:rsidRPr="006375AE">
        <w:rPr>
          <w:i/>
          <w:iCs/>
        </w:rPr>
        <w:t>Interference</w:t>
      </w:r>
      <w:r w:rsidR="005D0508">
        <w:rPr>
          <w:i/>
          <w:iCs/>
        </w:rPr>
        <w:t>”</w:t>
      </w:r>
      <w:r w:rsidR="006375AE" w:rsidRPr="006375AE">
        <w:rPr>
          <w:i/>
          <w:iCs/>
        </w:rPr>
        <w:t xml:space="preserve"> Disputes</w:t>
      </w:r>
      <w:r w:rsidR="006375AE" w:rsidRPr="006375AE">
        <w:t xml:space="preserve">, </w:t>
      </w:r>
      <w:r w:rsidR="00F07D4D" w:rsidRPr="00F07D4D">
        <w:t xml:space="preserve">2012 TRPC </w:t>
      </w:r>
      <w:r w:rsidR="006375AE" w:rsidRPr="006375AE">
        <w:t>(2012),</w:t>
      </w:r>
      <w:r w:rsidR="006375AE">
        <w:t xml:space="preserve"> found at</w:t>
      </w:r>
      <w:r w:rsidR="006375AE" w:rsidRPr="006375AE">
        <w:t xml:space="preserve"> </w:t>
      </w:r>
      <w:hyperlink r:id="rId12" w:history="1">
        <w:r w:rsidR="006375AE" w:rsidRPr="006375AE">
          <w:rPr>
            <w:rStyle w:val="Hyperlink"/>
          </w:rPr>
          <w:t>https://papers.ssrn.com/abstract=2032312</w:t>
        </w:r>
      </w:hyperlink>
      <w:r w:rsidR="006375AE">
        <w:t>.</w:t>
      </w:r>
    </w:p>
  </w:footnote>
  <w:footnote w:id="49">
    <w:p w14:paraId="73295491" w14:textId="32F00B0F" w:rsidR="00996E85" w:rsidRDefault="00996E85" w:rsidP="00996E85">
      <w:pPr>
        <w:pStyle w:val="FootnoteText"/>
      </w:pPr>
      <w:r>
        <w:rPr>
          <w:rStyle w:val="FootnoteReference"/>
        </w:rPr>
        <w:footnoteRef/>
      </w:r>
      <w:r>
        <w:t xml:space="preserve"> </w:t>
      </w:r>
      <w:r w:rsidRPr="00996E85">
        <w:rPr>
          <w:i/>
          <w:iCs/>
        </w:rPr>
        <w:t>Cf</w:t>
      </w:r>
      <w:r>
        <w:t xml:space="preserve">. </w:t>
      </w:r>
      <w:r w:rsidR="00561D9B" w:rsidRPr="00561D9B">
        <w:t xml:space="preserve">Multi Cell - Measurement in LTE, ShareTechnote, </w:t>
      </w:r>
      <w:hyperlink r:id="rId13" w:history="1">
        <w:r w:rsidR="00C90C14" w:rsidRPr="00FB476B">
          <w:rPr>
            <w:rStyle w:val="Hyperlink"/>
          </w:rPr>
          <w:t>https://www.sharetechnote.com/html/Handbook_LTE_MultiCell_Measurement_LTE.html</w:t>
        </w:r>
      </w:hyperlink>
      <w:r w:rsidR="00561D9B" w:rsidRPr="00561D9B">
        <w:t xml:space="preserve"> (last visited Jul 20, 2022)</w:t>
      </w:r>
      <w:r w:rsidR="00E40337">
        <w:t xml:space="preserve">; </w:t>
      </w:r>
      <w:r w:rsidRPr="00996E85">
        <w:t xml:space="preserve">Catherine Sbeglia Nin, </w:t>
      </w:r>
      <w:r w:rsidRPr="00996E85">
        <w:rPr>
          <w:i/>
          <w:iCs/>
        </w:rPr>
        <w:t>What is Minimization of Drive Tests (MDT) in 5G?</w:t>
      </w:r>
      <w:r w:rsidRPr="00996E85">
        <w:t>, RCR Wireless News (2022),</w:t>
      </w:r>
      <w:r w:rsidR="00E14ACD">
        <w:t xml:space="preserve"> found at</w:t>
      </w:r>
      <w:r w:rsidRPr="00996E85">
        <w:t xml:space="preserve"> </w:t>
      </w:r>
      <w:hyperlink r:id="rId14" w:history="1">
        <w:r w:rsidRPr="00996E85">
          <w:rPr>
            <w:rStyle w:val="Hyperlink"/>
          </w:rPr>
          <w:t>https://rcrwireless.com/20220504/5g/what-is-minimization-of-drive-tests-mdt-in-5g</w:t>
        </w:r>
      </w:hyperlink>
      <w:r w:rsidRPr="00996E85">
        <w:t>.</w:t>
      </w:r>
    </w:p>
  </w:footnote>
  <w:footnote w:id="50">
    <w:p w14:paraId="46D48AD0" w14:textId="4DEF5714" w:rsidR="00C148BA" w:rsidRDefault="00C148BA" w:rsidP="00C148BA">
      <w:pPr>
        <w:pStyle w:val="FootnoteText"/>
      </w:pPr>
      <w:r>
        <w:rPr>
          <w:rStyle w:val="FootnoteReference"/>
        </w:rPr>
        <w:footnoteRef/>
      </w:r>
      <w:r>
        <w:t xml:space="preserve"> Cisco comments, 8 (</w:t>
      </w:r>
      <w:r w:rsidR="005D0508">
        <w:t>“</w:t>
      </w:r>
      <w:r w:rsidRPr="00196B14">
        <w:t>HCTs would be counterproductive were they to encourage operators to keep outdated devices to maintain their adjacent spectrum protections, rather than upgrade or replace those devices with new ones that are subject to an HCT</w:t>
      </w:r>
      <w:r>
        <w:t>.</w:t>
      </w:r>
      <w:r w:rsidR="005D0508">
        <w:t>”</w:t>
      </w:r>
      <w:r>
        <w:t>).</w:t>
      </w:r>
    </w:p>
  </w:footnote>
  <w:footnote w:id="51">
    <w:p w14:paraId="7E5FC65D" w14:textId="6260204B" w:rsidR="0079593C" w:rsidRDefault="0079593C" w:rsidP="0079593C">
      <w:pPr>
        <w:pStyle w:val="FootnoteText"/>
      </w:pPr>
      <w:r>
        <w:rPr>
          <w:rStyle w:val="FootnoteReference"/>
        </w:rPr>
        <w:footnoteRef/>
      </w:r>
      <w:r>
        <w:t xml:space="preserve"> Cisco comments, 8 (</w:t>
      </w:r>
      <w:r w:rsidR="005D0508">
        <w:t>“</w:t>
      </w:r>
      <w:r>
        <w:t xml:space="preserve">HCTs could discourage innovation by </w:t>
      </w:r>
      <w:r w:rsidRPr="00D92F39">
        <w:t>incentivizing the design and operation of inefficient equipment</w:t>
      </w:r>
      <w:r>
        <w:t xml:space="preserve"> </w:t>
      </w:r>
      <w:r w:rsidR="00E015AF">
        <w:t>. .</w:t>
      </w:r>
      <w:r>
        <w:t xml:space="preserve"> </w:t>
      </w:r>
      <w:r w:rsidR="00E015AF">
        <w:t>. .</w:t>
      </w:r>
      <w:r w:rsidRPr="00D92F39">
        <w:t xml:space="preserve"> HCTs could build in a safe harbor for devices based on older technology</w:t>
      </w:r>
      <w:r>
        <w:t xml:space="preserve"> </w:t>
      </w:r>
      <w:r w:rsidR="00E015AF">
        <w:t>. .</w:t>
      </w:r>
      <w:r>
        <w:t xml:space="preserve"> </w:t>
      </w:r>
      <w:r w:rsidR="00E015AF">
        <w:t>. .</w:t>
      </w:r>
      <w:r w:rsidR="005D0508">
        <w:t>”</w:t>
      </w:r>
      <w:r>
        <w:t>).</w:t>
      </w:r>
    </w:p>
  </w:footnote>
  <w:footnote w:id="52">
    <w:p w14:paraId="38F079CF" w14:textId="7AA9BA37" w:rsidR="009B31C5" w:rsidRDefault="009B31C5" w:rsidP="009B31C5">
      <w:pPr>
        <w:pStyle w:val="FootnoteText"/>
      </w:pPr>
      <w:r>
        <w:rPr>
          <w:rStyle w:val="FootnoteReference"/>
        </w:rPr>
        <w:footnoteRef/>
      </w:r>
      <w:r>
        <w:t xml:space="preserve"> Cisco comments, 9 (</w:t>
      </w:r>
      <w:r w:rsidR="005D0508">
        <w:t>“</w:t>
      </w:r>
      <w:r>
        <w:t>[</w:t>
      </w:r>
      <w:r w:rsidRPr="005C16D7">
        <w:t>C</w:t>
      </w:r>
      <w:r>
        <w:t>]</w:t>
      </w:r>
      <w:r w:rsidRPr="005C16D7">
        <w:t>isco has serious concerns that HCTs or other mandatory receiver performance standards</w:t>
      </w:r>
      <w:r>
        <w:t xml:space="preserve"> </w:t>
      </w:r>
      <w:r w:rsidR="00E015AF">
        <w:t>. .</w:t>
      </w:r>
      <w:r>
        <w:t> </w:t>
      </w:r>
      <w:r w:rsidR="00E015AF">
        <w:t>. .</w:t>
      </w:r>
      <w:r w:rsidR="005D0508">
        <w:t>”</w:t>
      </w:r>
      <w:r>
        <w:t>).</w:t>
      </w:r>
    </w:p>
  </w:footnote>
  <w:footnote w:id="53">
    <w:p w14:paraId="6C30B2CA" w14:textId="2088DCFC" w:rsidR="00F474E7" w:rsidRDefault="00F474E7" w:rsidP="00F474E7">
      <w:pPr>
        <w:pStyle w:val="FootnoteText"/>
      </w:pPr>
      <w:r>
        <w:rPr>
          <w:rStyle w:val="FootnoteReference"/>
        </w:rPr>
        <w:footnoteRef/>
      </w:r>
      <w:r>
        <w:t xml:space="preserve"> CTA</w:t>
      </w:r>
      <w:r w:rsidRPr="00C97E06">
        <w:t xml:space="preserve"> </w:t>
      </w:r>
      <w:r>
        <w:t xml:space="preserve">comments, </w:t>
      </w:r>
      <w:r w:rsidRPr="00C97E06">
        <w:t>3–4 (</w:t>
      </w:r>
      <w:r w:rsidR="005D0508">
        <w:t>“</w:t>
      </w:r>
      <w:r w:rsidRPr="00C97E06">
        <w:t xml:space="preserve">The Commission should not adopt government-mandated receiver performance standards or interference thresholds. Mandated technical rules related to receiver performance would disincentivize improvements </w:t>
      </w:r>
      <w:r w:rsidR="00E015AF">
        <w:t>. .</w:t>
      </w:r>
      <w:r>
        <w:t xml:space="preserve"> </w:t>
      </w:r>
      <w:r w:rsidR="00E015AF">
        <w:t>. .</w:t>
      </w:r>
      <w:r w:rsidR="005D0508">
        <w:t>”</w:t>
      </w:r>
      <w:r w:rsidRPr="00C97E06">
        <w:t>)</w:t>
      </w:r>
      <w:r>
        <w:t>;</w:t>
      </w:r>
      <w:r w:rsidRPr="00C97E06">
        <w:t xml:space="preserve"> </w:t>
      </w:r>
      <w:r w:rsidRPr="00C97E06">
        <w:rPr>
          <w:i/>
          <w:iCs/>
        </w:rPr>
        <w:t>cf</w:t>
      </w:r>
      <w:r w:rsidRPr="00C97E06">
        <w:t>. De Vries comments, 7</w:t>
      </w:r>
      <w:r w:rsidR="00C126F9">
        <w:t xml:space="preserve"> (</w:t>
      </w:r>
      <w:r w:rsidR="00B97B81">
        <w:t>sub</w:t>
      </w:r>
      <w:r w:rsidR="00187CDA">
        <w:t xml:space="preserve">section </w:t>
      </w:r>
      <w:r w:rsidR="00B97B81">
        <w:t>on e</w:t>
      </w:r>
      <w:r w:rsidR="00BC55F3" w:rsidRPr="00BC55F3">
        <w:t xml:space="preserve">quipment vs. </w:t>
      </w:r>
      <w:r w:rsidR="00B97B81">
        <w:t>e</w:t>
      </w:r>
      <w:r w:rsidR="00BC55F3" w:rsidRPr="00BC55F3">
        <w:t>nvironment</w:t>
      </w:r>
      <w:r w:rsidR="00C126F9">
        <w:t>)</w:t>
      </w:r>
      <w:r w:rsidRPr="00C97E06">
        <w:t>, 10–11</w:t>
      </w:r>
      <w:r w:rsidR="00BC55F3">
        <w:t xml:space="preserve"> (</w:t>
      </w:r>
      <w:r w:rsidR="00B97B81">
        <w:t>subsection on c</w:t>
      </w:r>
      <w:r w:rsidR="006D1729" w:rsidRPr="006D1729">
        <w:t>ombining the categories</w:t>
      </w:r>
      <w:r w:rsidR="00BC55F3">
        <w:t>)</w:t>
      </w:r>
      <w:r w:rsidRPr="00C97E06">
        <w:t>.</w:t>
      </w:r>
    </w:p>
  </w:footnote>
  <w:footnote w:id="54">
    <w:p w14:paraId="4B1C4302" w14:textId="7685A2CE" w:rsidR="009E42F2" w:rsidRDefault="009E42F2" w:rsidP="009E42F2">
      <w:pPr>
        <w:pStyle w:val="FootnoteText"/>
      </w:pPr>
      <w:r>
        <w:rPr>
          <w:rStyle w:val="FootnoteReference"/>
        </w:rPr>
        <w:footnoteRef/>
      </w:r>
      <w:r>
        <w:t xml:space="preserve"> Peha comments, 3 (</w:t>
      </w:r>
      <w:r w:rsidR="005D0508">
        <w:t>“</w:t>
      </w:r>
      <w:r w:rsidRPr="003E3BFA">
        <w:t>If parameters are set to the right levels, a harm claim threshold would create strong incentives to build systems that can withstand significant interference from neighbors, even in cases where today</w:t>
      </w:r>
      <w:r w:rsidR="005D0508">
        <w:t>’</w:t>
      </w:r>
      <w:r w:rsidRPr="003E3BFA">
        <w:t>s FCC policies do not provide these incentives because current neighbors do not generate significant interference.</w:t>
      </w:r>
      <w:r w:rsidR="005D0508">
        <w:t>”</w:t>
      </w:r>
      <w:r>
        <w:t>).</w:t>
      </w:r>
    </w:p>
  </w:footnote>
  <w:footnote w:id="55">
    <w:p w14:paraId="16437554" w14:textId="3543BF76" w:rsidR="009E42F2" w:rsidRDefault="009E42F2" w:rsidP="009E42F2">
      <w:pPr>
        <w:pStyle w:val="FootnoteText"/>
      </w:pPr>
      <w:r>
        <w:rPr>
          <w:rStyle w:val="FootnoteReference"/>
        </w:rPr>
        <w:footnoteRef/>
      </w:r>
      <w:r>
        <w:t xml:space="preserve"> </w:t>
      </w:r>
      <w:r w:rsidRPr="000A5683">
        <w:rPr>
          <w:i/>
          <w:iCs/>
        </w:rPr>
        <w:t>Cf</w:t>
      </w:r>
      <w:r>
        <w:t>. Cisco comments, 5 (</w:t>
      </w:r>
      <w:r w:rsidR="005D0508">
        <w:t>“</w:t>
      </w:r>
      <w:r>
        <w:t>[T]</w:t>
      </w:r>
      <w:r w:rsidRPr="000A5683">
        <w:t xml:space="preserve">here is no need for the Commission to </w:t>
      </w:r>
      <w:r w:rsidR="00E015AF">
        <w:t>. .</w:t>
      </w:r>
      <w:r>
        <w:t xml:space="preserve"> . </w:t>
      </w:r>
      <w:r w:rsidRPr="000A5683">
        <w:t>consider adopting federally mandated standards establishing minimum requirements for receiver performance.</w:t>
      </w:r>
      <w:r w:rsidR="005D0508">
        <w:t>”</w:t>
      </w:r>
      <w:r>
        <w:t xml:space="preserve">). </w:t>
      </w:r>
    </w:p>
  </w:footnote>
  <w:footnote w:id="56">
    <w:p w14:paraId="16B45F90" w14:textId="20168D5E" w:rsidR="00884D9D" w:rsidRDefault="00884D9D">
      <w:pPr>
        <w:pStyle w:val="FootnoteText"/>
      </w:pPr>
      <w:r>
        <w:rPr>
          <w:rStyle w:val="FootnoteReference"/>
        </w:rPr>
        <w:footnoteRef/>
      </w:r>
      <w:r>
        <w:t xml:space="preserve"> Intel comments, 10 (</w:t>
      </w:r>
      <w:r w:rsidR="005D0508">
        <w:t>“</w:t>
      </w:r>
      <w:r>
        <w:t>[T]</w:t>
      </w:r>
      <w:r w:rsidRPr="00884D9D">
        <w:t>he vast majority of the time would be spent dealing with legacy/existing bands by re-opening rulemaking proceedings for all these established bands, in order to set HCT levels retroactively for each existing band.</w:t>
      </w:r>
      <w:r w:rsidR="005D0508">
        <w:t>”</w:t>
      </w:r>
      <w:r>
        <w:t>).</w:t>
      </w:r>
    </w:p>
  </w:footnote>
  <w:footnote w:id="57">
    <w:p w14:paraId="211F4255" w14:textId="61E55EF4" w:rsidR="00AD7B78" w:rsidRDefault="00AD7B78" w:rsidP="00AD7B78">
      <w:pPr>
        <w:pStyle w:val="FootnoteText"/>
      </w:pPr>
      <w:r>
        <w:rPr>
          <w:rStyle w:val="FootnoteReference"/>
        </w:rPr>
        <w:footnoteRef/>
      </w:r>
      <w:r>
        <w:t xml:space="preserve"> </w:t>
      </w:r>
      <w:r>
        <w:rPr>
          <w:i/>
          <w:iCs/>
        </w:rPr>
        <w:t>Cf.</w:t>
      </w:r>
      <w:r w:rsidRPr="00FA2917">
        <w:rPr>
          <w:i/>
          <w:iCs/>
        </w:rPr>
        <w:t xml:space="preserve"> e.g.</w:t>
      </w:r>
      <w:r>
        <w:t xml:space="preserve"> </w:t>
      </w:r>
      <w:r w:rsidRPr="00795931">
        <w:t xml:space="preserve">TAC Receivers and Spectrum Working Group, </w:t>
      </w:r>
      <w:r w:rsidRPr="00795931">
        <w:rPr>
          <w:i/>
          <w:iCs/>
        </w:rPr>
        <w:t>Interference Limits Policy: The use of harm claim thresholds to improve the interference tolerance of wireless systems</w:t>
      </w:r>
      <w:r w:rsidRPr="00795931">
        <w:t xml:space="preserve"> (2013), found at </w:t>
      </w:r>
      <w:hyperlink r:id="rId15">
        <w:r w:rsidRPr="00795931">
          <w:rPr>
            <w:rStyle w:val="Hyperlink"/>
          </w:rPr>
          <w:t>https://transition.fcc.gov/bureaus/oet/tac/tacdocs/WhitePaperTACInterferenceLimitsv1.0.pdf</w:t>
        </w:r>
      </w:hyperlink>
      <w:r>
        <w:t xml:space="preserve">; </w:t>
      </w:r>
      <w:r w:rsidR="00C71A5A" w:rsidRPr="002A72D5">
        <w:t>Riihijärvi et al</w:t>
      </w:r>
      <w:r w:rsidRPr="00795931">
        <w:t>.</w:t>
      </w:r>
    </w:p>
  </w:footnote>
  <w:footnote w:id="58">
    <w:p w14:paraId="35F4FC44" w14:textId="7837B2A4" w:rsidR="00ED1195" w:rsidRDefault="00ED1195" w:rsidP="00ED1195">
      <w:pPr>
        <w:pStyle w:val="FootnoteText"/>
      </w:pPr>
      <w:r>
        <w:rPr>
          <w:rStyle w:val="FootnoteReference"/>
        </w:rPr>
        <w:footnoteRef/>
      </w:r>
      <w:r>
        <w:t xml:space="preserve"> Intel comments, 11–12 (</w:t>
      </w:r>
      <w:r w:rsidR="005D0508">
        <w:t>“</w:t>
      </w:r>
      <w:r w:rsidRPr="005C16D7">
        <w:t xml:space="preserve">The problem of determining criteria to draw the line between </w:t>
      </w:r>
      <w:r w:rsidR="005D0508">
        <w:t>‘</w:t>
      </w:r>
      <w:r w:rsidRPr="005C16D7">
        <w:t>good</w:t>
      </w:r>
      <w:r w:rsidR="005D0508">
        <w:t>’</w:t>
      </w:r>
      <w:r w:rsidRPr="005C16D7">
        <w:t xml:space="preserve"> and </w:t>
      </w:r>
      <w:r w:rsidR="005D0508">
        <w:t>‘</w:t>
      </w:r>
      <w:r w:rsidRPr="005C16D7">
        <w:t>bad</w:t>
      </w:r>
      <w:r w:rsidR="005D0508">
        <w:t>’</w:t>
      </w:r>
      <w:r w:rsidRPr="005C16D7">
        <w:t xml:space="preserve"> receivers in existing bands so that </w:t>
      </w:r>
      <w:r w:rsidR="005D0508">
        <w:t>‘</w:t>
      </w:r>
      <w:r w:rsidRPr="005C16D7">
        <w:t>bad</w:t>
      </w:r>
      <w:r w:rsidR="005D0508">
        <w:t>’</w:t>
      </w:r>
      <w:r w:rsidRPr="005C16D7">
        <w:t xml:space="preserve"> receivers can be identified or otherwise incentivized to self-identify is a difficult problem that needs to be addressed, but HCT does not provide the solution.</w:t>
      </w:r>
      <w:r w:rsidR="005D0508">
        <w:t>”</w:t>
      </w:r>
      <w:r>
        <w:t>).</w:t>
      </w:r>
    </w:p>
  </w:footnote>
  <w:footnote w:id="59">
    <w:p w14:paraId="656404C4" w14:textId="28DC7B16" w:rsidR="0039166E" w:rsidRDefault="0039166E">
      <w:pPr>
        <w:pStyle w:val="FootnoteText"/>
      </w:pPr>
      <w:r>
        <w:rPr>
          <w:rStyle w:val="FootnoteReference"/>
        </w:rPr>
        <w:footnoteRef/>
      </w:r>
      <w:r>
        <w:t xml:space="preserve"> </w:t>
      </w:r>
      <w:r w:rsidR="00311FC2" w:rsidRPr="00311FC2">
        <w:rPr>
          <w:i/>
          <w:iCs/>
        </w:rPr>
        <w:t>Id</w:t>
      </w:r>
      <w:r w:rsidR="00311FC2">
        <w:t>.</w:t>
      </w:r>
    </w:p>
  </w:footnote>
  <w:footnote w:id="60">
    <w:p w14:paraId="127E83F7" w14:textId="77777777" w:rsidR="00ED1195" w:rsidRDefault="00ED1195" w:rsidP="00ED1195">
      <w:pPr>
        <w:pStyle w:val="FootnoteText"/>
      </w:pPr>
      <w:r>
        <w:rPr>
          <w:rStyle w:val="FootnoteReference"/>
        </w:rPr>
        <w:footnoteRef/>
      </w:r>
      <w:r>
        <w:t xml:space="preserve"> De Vries comments, 5.</w:t>
      </w:r>
    </w:p>
  </w:footnote>
  <w:footnote w:id="61">
    <w:p w14:paraId="7F9D4C93" w14:textId="3ABB9DFE" w:rsidR="00941D00" w:rsidRPr="00CA76C6" w:rsidRDefault="00941D00">
      <w:pPr>
        <w:pStyle w:val="FootnoteText"/>
      </w:pPr>
      <w:bookmarkStart w:id="38" w:name="_Ref109041357"/>
      <w:r>
        <w:rPr>
          <w:rStyle w:val="FootnoteReference"/>
        </w:rPr>
        <w:footnoteRef/>
      </w:r>
      <w:r>
        <w:t xml:space="preserve"> </w:t>
      </w:r>
      <w:bookmarkEnd w:id="38"/>
      <w:r w:rsidR="00207231" w:rsidRPr="00DC5FC3">
        <w:rPr>
          <w:i/>
          <w:iCs/>
        </w:rPr>
        <w:t>See</w:t>
      </w:r>
      <w:r w:rsidR="00207231">
        <w:rPr>
          <w:i/>
          <w:iCs/>
        </w:rPr>
        <w:t>,</w:t>
      </w:r>
      <w:r w:rsidR="00207231" w:rsidRPr="00DC5FC3">
        <w:rPr>
          <w:i/>
          <w:iCs/>
        </w:rPr>
        <w:t xml:space="preserve"> e.g.</w:t>
      </w:r>
      <w:r w:rsidR="00207231">
        <w:rPr>
          <w:i/>
          <w:iCs/>
        </w:rPr>
        <w:t>,</w:t>
      </w:r>
      <w:r w:rsidR="00207231">
        <w:t xml:space="preserve"> 5G Americas comments, 3; AT&amp;T comments, 3; Cisco comments, 11–13; CTA comments, 13–15; De Vries comments, 47–49; Ericsson comments, 12–13; Intel comments, 3–8; Lumen comments, 4–7; NCTA comments, 6–13; Verizon comments, 9–11. </w:t>
      </w:r>
      <w:r w:rsidR="00207231">
        <w:rPr>
          <w:i/>
          <w:iCs/>
        </w:rPr>
        <w:t>C</w:t>
      </w:r>
      <w:r w:rsidR="00207231" w:rsidRPr="00163767">
        <w:rPr>
          <w:i/>
          <w:iCs/>
        </w:rPr>
        <w:t>f</w:t>
      </w:r>
      <w:r w:rsidR="00207231">
        <w:t xml:space="preserve">. CORF comments, 17–23; Longman comments, 2–7. </w:t>
      </w:r>
      <w:r w:rsidR="00207231">
        <w:rPr>
          <w:i/>
          <w:iCs/>
        </w:rPr>
        <w:t>B</w:t>
      </w:r>
      <w:r w:rsidR="00207231" w:rsidRPr="000C70B3">
        <w:rPr>
          <w:i/>
          <w:iCs/>
        </w:rPr>
        <w:t>ut</w:t>
      </w:r>
      <w:r w:rsidR="00207231" w:rsidRPr="00324977">
        <w:rPr>
          <w:i/>
          <w:iCs/>
        </w:rPr>
        <w:t xml:space="preserve"> see</w:t>
      </w:r>
      <w:r w:rsidR="00207231">
        <w:t xml:space="preserve"> Boeing comments, 8.</w:t>
      </w:r>
    </w:p>
  </w:footnote>
  <w:footnote w:id="62">
    <w:p w14:paraId="5BD9FD98" w14:textId="6E23D4B9" w:rsidR="00C12EEB" w:rsidRDefault="00C12EEB">
      <w:pPr>
        <w:pStyle w:val="FootnoteText"/>
      </w:pPr>
      <w:r>
        <w:rPr>
          <w:rStyle w:val="FootnoteReference"/>
        </w:rPr>
        <w:footnoteRef/>
      </w:r>
      <w:r>
        <w:t xml:space="preserve"> </w:t>
      </w:r>
      <w:r w:rsidRPr="00C12EEB">
        <w:t xml:space="preserve">TAC Spectrum and Receiver Performance Working Group, </w:t>
      </w:r>
      <w:r w:rsidRPr="00C12EEB">
        <w:rPr>
          <w:i/>
          <w:iCs/>
        </w:rPr>
        <w:t>Basic Principles for Assessing Compatibility of New Spectrum Allocations : A White Paper (Release 1.1)</w:t>
      </w:r>
      <w:r w:rsidRPr="00C12EEB">
        <w:t xml:space="preserve"> (2015) (</w:t>
      </w:r>
      <w:r w:rsidRPr="00C12EEB">
        <w:rPr>
          <w:i/>
          <w:iCs/>
        </w:rPr>
        <w:t>TAC Basic Principles</w:t>
      </w:r>
      <w:r w:rsidRPr="00C12EEB">
        <w:t xml:space="preserve">), found at </w:t>
      </w:r>
      <w:hyperlink r:id="rId16">
        <w:r w:rsidRPr="00C12EEB">
          <w:rPr>
            <w:rStyle w:val="Hyperlink"/>
          </w:rPr>
          <w:t>https://transition.fcc.gov/bureaus/oet/tac/tacdocs/meeting121015/Principles-White-Paper-Release-1.1.pdf</w:t>
        </w:r>
      </w:hyperlink>
      <w:r w:rsidRPr="00C12EEB">
        <w:t>.</w:t>
      </w:r>
    </w:p>
  </w:footnote>
  <w:footnote w:id="63">
    <w:p w14:paraId="58C8F3CB" w14:textId="5A373A6D" w:rsidR="00ED1195" w:rsidRDefault="00ED1195" w:rsidP="00ED1195">
      <w:pPr>
        <w:pStyle w:val="FootnoteText"/>
      </w:pPr>
      <w:r>
        <w:rPr>
          <w:rStyle w:val="FootnoteReference"/>
        </w:rPr>
        <w:footnoteRef/>
      </w:r>
      <w:r>
        <w:t xml:space="preserve"> De Vries comments, </w:t>
      </w:r>
      <w:r w:rsidR="006478D6">
        <w:t xml:space="preserve">13–15 (Scenario A), </w:t>
      </w:r>
      <w:r>
        <w:t>47; cf. Peha comments, 4 (</w:t>
      </w:r>
      <w:r w:rsidR="005D0508">
        <w:t>“</w:t>
      </w:r>
      <w:r>
        <w:rPr>
          <w:lang w:val="en"/>
        </w:rPr>
        <w:t>[I]</w:t>
      </w:r>
      <w:r w:rsidRPr="00B802A8">
        <w:rPr>
          <w:lang w:val="en"/>
        </w:rPr>
        <w:t>t will be easiest to apply a harm claim threshold when the Commission is already making fundamental changes in how a band is to be used</w:t>
      </w:r>
      <w:r w:rsidR="00D566DA">
        <w:rPr>
          <w:lang w:val="en"/>
        </w:rPr>
        <w:t xml:space="preserve"> </w:t>
      </w:r>
      <w:r w:rsidR="00E015AF">
        <w:rPr>
          <w:lang w:val="en"/>
        </w:rPr>
        <w:t>. .</w:t>
      </w:r>
      <w:r w:rsidR="0088634D">
        <w:rPr>
          <w:lang w:val="en"/>
        </w:rPr>
        <w:t> </w:t>
      </w:r>
      <w:r w:rsidR="00E015AF">
        <w:rPr>
          <w:lang w:val="en"/>
        </w:rPr>
        <w:t>. .</w:t>
      </w:r>
      <w:r w:rsidR="005D0508">
        <w:t>”</w:t>
      </w:r>
      <w:r>
        <w:t>).</w:t>
      </w:r>
    </w:p>
  </w:footnote>
  <w:footnote w:id="64">
    <w:p w14:paraId="37AD2CC5" w14:textId="4A6A1194" w:rsidR="00201057" w:rsidRDefault="00201057">
      <w:pPr>
        <w:pStyle w:val="FootnoteText"/>
      </w:pPr>
      <w:r>
        <w:rPr>
          <w:rStyle w:val="FootnoteReference"/>
        </w:rPr>
        <w:footnoteRef/>
      </w:r>
      <w:r>
        <w:t xml:space="preserve"> </w:t>
      </w:r>
      <w:r w:rsidRPr="00201057">
        <w:rPr>
          <w:i/>
          <w:iCs/>
        </w:rPr>
        <w:t>Cf</w:t>
      </w:r>
      <w:r>
        <w:t xml:space="preserve">. </w:t>
      </w:r>
      <w:r w:rsidR="00460C94" w:rsidRPr="00460C94">
        <w:t xml:space="preserve">Martin B. H. Weiss &amp; Liu Cui, </w:t>
      </w:r>
      <w:r w:rsidR="00460C94" w:rsidRPr="00460C94">
        <w:rPr>
          <w:i/>
          <w:iCs/>
        </w:rPr>
        <w:t>Spectrum trading with interference rights</w:t>
      </w:r>
      <w:r w:rsidR="00460C94" w:rsidRPr="00460C94">
        <w:t xml:space="preserve">, in 2012 7th International ICST Conference on Cognitive Radio Oriented Wireless Networks and Communications (CROWNCOM) 135–140 (2012), found at </w:t>
      </w:r>
      <w:hyperlink r:id="rId17" w:history="1">
        <w:r w:rsidR="00460C94" w:rsidRPr="00FA41E6">
          <w:rPr>
            <w:rStyle w:val="Hyperlink"/>
          </w:rPr>
          <w:t>https://eudl.eu/doi/10.4108/icst.crowncom.2012.248690</w:t>
        </w:r>
      </w:hyperlink>
      <w:r w:rsidR="00460C94" w:rsidRPr="00FA41E6">
        <w:t>.</w:t>
      </w:r>
    </w:p>
  </w:footnote>
  <w:footnote w:id="65">
    <w:p w14:paraId="3AB52478" w14:textId="77777777" w:rsidR="006F4122" w:rsidRDefault="006F4122" w:rsidP="006F4122">
      <w:pPr>
        <w:pStyle w:val="FootnoteText"/>
      </w:pPr>
      <w:r>
        <w:rPr>
          <w:rStyle w:val="FootnoteReference"/>
        </w:rPr>
        <w:footnoteRef/>
      </w:r>
      <w:r>
        <w:t xml:space="preserve"> De Vries comments, 16–23 (Scenarios B–F).</w:t>
      </w:r>
    </w:p>
  </w:footnote>
  <w:footnote w:id="66">
    <w:p w14:paraId="5244E6BC" w14:textId="77777777" w:rsidR="006F4122" w:rsidRDefault="006F4122" w:rsidP="006F4122">
      <w:pPr>
        <w:pStyle w:val="FootnoteText"/>
      </w:pPr>
      <w:r>
        <w:rPr>
          <w:rStyle w:val="FootnoteReference"/>
        </w:rPr>
        <w:footnoteRef/>
      </w:r>
      <w:r>
        <w:t xml:space="preserve"> Peha comments, 4.</w:t>
      </w:r>
    </w:p>
  </w:footnote>
  <w:footnote w:id="67">
    <w:p w14:paraId="55726F86" w14:textId="77777777" w:rsidR="008B293D" w:rsidRDefault="008B293D" w:rsidP="008B293D">
      <w:pPr>
        <w:pStyle w:val="FootnoteText"/>
      </w:pPr>
      <w:r>
        <w:rPr>
          <w:rStyle w:val="FootnoteReference"/>
        </w:rPr>
        <w:footnoteRef/>
      </w:r>
      <w:r>
        <w:t xml:space="preserve"> CTIA comments, 12.</w:t>
      </w:r>
    </w:p>
  </w:footnote>
  <w:footnote w:id="68">
    <w:p w14:paraId="222D5A2C" w14:textId="77777777" w:rsidR="008B293D" w:rsidRDefault="008B293D" w:rsidP="008B293D">
      <w:pPr>
        <w:pStyle w:val="FootnoteText"/>
      </w:pPr>
      <w:r>
        <w:rPr>
          <w:rStyle w:val="FootnoteReference"/>
        </w:rPr>
        <w:footnoteRef/>
      </w:r>
      <w:r>
        <w:t xml:space="preserve"> </w:t>
      </w:r>
      <w:r w:rsidRPr="000B4477">
        <w:rPr>
          <w:i/>
          <w:iCs/>
        </w:rPr>
        <w:t>Id</w:t>
      </w:r>
      <w:r>
        <w:t>.</w:t>
      </w:r>
    </w:p>
  </w:footnote>
  <w:footnote w:id="69">
    <w:p w14:paraId="2D6DDD71" w14:textId="3E51C960" w:rsidR="00ED1195" w:rsidRDefault="00ED1195" w:rsidP="00ED1195">
      <w:pPr>
        <w:pStyle w:val="FootnoteText"/>
      </w:pPr>
      <w:r>
        <w:rPr>
          <w:rStyle w:val="FootnoteReference"/>
        </w:rPr>
        <w:footnoteRef/>
      </w:r>
      <w:r>
        <w:t xml:space="preserve"> </w:t>
      </w:r>
      <w:r w:rsidR="00A60138" w:rsidRPr="00A60138">
        <w:rPr>
          <w:i/>
          <w:iCs/>
        </w:rPr>
        <w:t>See</w:t>
      </w:r>
      <w:r w:rsidR="00290450">
        <w:rPr>
          <w:i/>
          <w:iCs/>
        </w:rPr>
        <w:t xml:space="preserve"> supra</w:t>
      </w:r>
      <w:r w:rsidR="00A60138">
        <w:t xml:space="preserve"> </w:t>
      </w:r>
      <w:r w:rsidR="002A2677">
        <w:t>note</w:t>
      </w:r>
      <w:r w:rsidR="004B6043">
        <w:t xml:space="preserve"> </w:t>
      </w:r>
      <w:r w:rsidR="00453B8D">
        <w:fldChar w:fldCharType="begin"/>
      </w:r>
      <w:r w:rsidR="00453B8D">
        <w:instrText xml:space="preserve"> NOTEREF _Ref108894290 \h </w:instrText>
      </w:r>
      <w:r w:rsidR="00453B8D">
        <w:fldChar w:fldCharType="separate"/>
      </w:r>
      <w:r w:rsidR="00C92AFB">
        <w:t>5</w:t>
      </w:r>
      <w:r w:rsidR="00453B8D">
        <w:fldChar w:fldCharType="end"/>
      </w:r>
      <w:r w:rsidR="00681557">
        <w:t xml:space="preserve"> on p. </w:t>
      </w:r>
      <w:r w:rsidR="00681557">
        <w:fldChar w:fldCharType="begin"/>
      </w:r>
      <w:r w:rsidR="00681557">
        <w:instrText xml:space="preserve"> PAGEREF _Ref109497594 \p \h </w:instrText>
      </w:r>
      <w:r w:rsidR="00681557">
        <w:fldChar w:fldCharType="separate"/>
      </w:r>
      <w:r w:rsidR="00681557">
        <w:rPr>
          <w:noProof/>
        </w:rPr>
        <w:t>2</w:t>
      </w:r>
      <w:r w:rsidR="00681557">
        <w:fldChar w:fldCharType="end"/>
      </w:r>
      <w:r w:rsidR="002A2677">
        <w:t xml:space="preserve">, </w:t>
      </w:r>
      <w:r w:rsidR="002A2677" w:rsidRPr="00453B8D">
        <w:rPr>
          <w:i/>
          <w:iCs/>
        </w:rPr>
        <w:t>e.g.</w:t>
      </w:r>
      <w:r w:rsidR="00E148DD">
        <w:t>,</w:t>
      </w:r>
      <w:r w:rsidR="002A2677">
        <w:t xml:space="preserve"> </w:t>
      </w:r>
      <w:r w:rsidRPr="006E6AAE">
        <w:t>Ericsson</w:t>
      </w:r>
      <w:r w:rsidR="002A2677">
        <w:t xml:space="preserve"> comments, 14 (</w:t>
      </w:r>
      <w:r w:rsidR="005D0508">
        <w:t>“</w:t>
      </w:r>
      <w:r w:rsidR="002A2677">
        <w:t>[C]</w:t>
      </w:r>
      <w:r w:rsidRPr="006E6AAE">
        <w:t>onsideration of a harm claim threshold involve stakeholders representing all interests</w:t>
      </w:r>
      <w:r w:rsidR="004B6043">
        <w:t xml:space="preserve"> </w:t>
      </w:r>
      <w:r w:rsidR="00E015AF">
        <w:t>. .</w:t>
      </w:r>
      <w:r w:rsidR="004B6043">
        <w:t xml:space="preserve"> </w:t>
      </w:r>
      <w:r w:rsidR="00E015AF">
        <w:t>. .</w:t>
      </w:r>
      <w:r w:rsidR="005D0508">
        <w:t>”</w:t>
      </w:r>
      <w:r>
        <w:t>)</w:t>
      </w:r>
      <w:r w:rsidR="002A2677">
        <w:t xml:space="preserve">; </w:t>
      </w:r>
      <w:r w:rsidRPr="006E6AAE">
        <w:t>T-Mobile</w:t>
      </w:r>
      <w:r w:rsidR="002A2677">
        <w:t xml:space="preserve"> comments, </w:t>
      </w:r>
      <w:r w:rsidR="004B6043">
        <w:t>7</w:t>
      </w:r>
      <w:r w:rsidRPr="006E6AAE">
        <w:t xml:space="preserve"> </w:t>
      </w:r>
      <w:r w:rsidR="00F31946">
        <w:t>(</w:t>
      </w:r>
      <w:r w:rsidR="005D0508">
        <w:t>“</w:t>
      </w:r>
      <w:r w:rsidR="004B6043">
        <w:t>[H]</w:t>
      </w:r>
      <w:r w:rsidRPr="006E6AAE">
        <w:t xml:space="preserve">arm claim thresholds could be adjusted through a multi-stakeholder forum </w:t>
      </w:r>
      <w:r w:rsidR="00E015AF">
        <w:t>. .</w:t>
      </w:r>
      <w:r w:rsidR="004B6043">
        <w:t xml:space="preserve"> </w:t>
      </w:r>
      <w:r w:rsidR="00E015AF">
        <w:t>. .</w:t>
      </w:r>
      <w:r w:rsidR="005D0508">
        <w:t>”</w:t>
      </w:r>
      <w:r>
        <w:t>)</w:t>
      </w:r>
      <w:r w:rsidR="004B6043">
        <w:t>.</w:t>
      </w:r>
    </w:p>
  </w:footnote>
  <w:footnote w:id="70">
    <w:p w14:paraId="59528E31" w14:textId="143CD318" w:rsidR="0019526F" w:rsidRDefault="0019526F">
      <w:pPr>
        <w:pStyle w:val="FootnoteText"/>
      </w:pPr>
      <w:r>
        <w:rPr>
          <w:rStyle w:val="FootnoteReference"/>
        </w:rPr>
        <w:footnoteRef/>
      </w:r>
      <w:r>
        <w:t xml:space="preserve"> </w:t>
      </w:r>
      <w:r w:rsidRPr="0019526F">
        <w:t>Weber comments, iii, 2–6.</w:t>
      </w:r>
    </w:p>
  </w:footnote>
  <w:footnote w:id="71">
    <w:p w14:paraId="32F0B375" w14:textId="59890D44" w:rsidR="005F36B0" w:rsidRDefault="005F36B0" w:rsidP="005F36B0">
      <w:pPr>
        <w:pStyle w:val="FootnoteText"/>
      </w:pPr>
      <w:r>
        <w:rPr>
          <w:rStyle w:val="FootnoteReference"/>
        </w:rPr>
        <w:footnoteRef/>
      </w:r>
      <w:r>
        <w:t xml:space="preserve"> </w:t>
      </w:r>
      <w:r w:rsidRPr="006F6761">
        <w:rPr>
          <w:i/>
          <w:iCs/>
        </w:rPr>
        <w:t>Cf</w:t>
      </w:r>
      <w:r w:rsidRPr="006F6761">
        <w:t>. Garmin comments, 11 n.27 (</w:t>
      </w:r>
      <w:r w:rsidR="005D0508">
        <w:t>“</w:t>
      </w:r>
      <w:r w:rsidRPr="006F6761">
        <w:t>The Commission</w:t>
      </w:r>
      <w:r w:rsidR="005D0508">
        <w:t>’</w:t>
      </w:r>
      <w:r w:rsidRPr="006F6761">
        <w:t xml:space="preserve">s </w:t>
      </w:r>
      <w:r w:rsidRPr="006F6761">
        <w:rPr>
          <w:i/>
          <w:iCs/>
        </w:rPr>
        <w:t xml:space="preserve">laissez-faire </w:t>
      </w:r>
      <w:r w:rsidRPr="006F6761">
        <w:t>approach proposed with HCTs is very like its hands-off approach to multi-stakeholder groups in the 3.7 to 4.2 GHz Band proceeding.</w:t>
      </w:r>
      <w:r w:rsidR="005D0508">
        <w:t>”</w:t>
      </w:r>
      <w:r w:rsidRPr="006F6761">
        <w:t>).</w:t>
      </w:r>
    </w:p>
  </w:footnote>
  <w:footnote w:id="72">
    <w:p w14:paraId="29532F8A" w14:textId="04F58E08" w:rsidR="00C42325" w:rsidRDefault="00C42325">
      <w:pPr>
        <w:pStyle w:val="FootnoteText"/>
      </w:pPr>
      <w:r>
        <w:rPr>
          <w:rStyle w:val="FootnoteReference"/>
        </w:rPr>
        <w:footnoteRef/>
      </w:r>
      <w:r>
        <w:t xml:space="preserve"> </w:t>
      </w:r>
      <w:r w:rsidRPr="00C42325">
        <w:t>Weber comments, 5 n.29.</w:t>
      </w:r>
    </w:p>
  </w:footnote>
  <w:footnote w:id="73">
    <w:p w14:paraId="1EC0BADB" w14:textId="54AB2954" w:rsidR="00C42325" w:rsidRDefault="00C42325">
      <w:pPr>
        <w:pStyle w:val="FootnoteText"/>
      </w:pPr>
      <w:r>
        <w:rPr>
          <w:rStyle w:val="FootnoteReference"/>
        </w:rPr>
        <w:footnoteRef/>
      </w:r>
      <w:r>
        <w:t xml:space="preserve"> </w:t>
      </w:r>
      <w:r w:rsidR="00F11550" w:rsidRPr="00F11550">
        <w:t xml:space="preserve">5 USC </w:t>
      </w:r>
      <w:r w:rsidR="00CD1AD6" w:rsidRPr="00CD1AD6">
        <w:t>§</w:t>
      </w:r>
      <w:r w:rsidR="00CD1AD6">
        <w:t xml:space="preserve"> </w:t>
      </w:r>
      <w:r w:rsidR="00F11550" w:rsidRPr="00F11550">
        <w:t>565(b)</w:t>
      </w:r>
      <w:r w:rsidR="00F11550">
        <w:t xml:space="preserve"> (</w:t>
      </w:r>
      <w:r w:rsidR="005D0508">
        <w:t>“</w:t>
      </w:r>
      <w:r w:rsidR="00524001">
        <w:t>[L]</w:t>
      </w:r>
      <w:r w:rsidR="00524001" w:rsidRPr="00524001">
        <w:t>imit membership on a negotiated rulemaking committee to 25 members, unless the agency head determines</w:t>
      </w:r>
      <w:r w:rsidR="00E50767">
        <w:t xml:space="preserve"> that </w:t>
      </w:r>
      <w:r w:rsidR="00E015AF">
        <w:t>. .</w:t>
      </w:r>
      <w:r w:rsidR="00E50767">
        <w:t xml:space="preserve"> </w:t>
      </w:r>
      <w:r w:rsidR="00E015AF">
        <w:t>. .</w:t>
      </w:r>
      <w:r w:rsidR="005D0508">
        <w:t>”</w:t>
      </w:r>
      <w:r w:rsidR="00F11550">
        <w:t xml:space="preserve">); </w:t>
      </w:r>
      <w:r w:rsidR="005344B7">
        <w:rPr>
          <w:i/>
          <w:iCs/>
        </w:rPr>
        <w:t>cf</w:t>
      </w:r>
      <w:r w:rsidR="005344B7">
        <w:t>.</w:t>
      </w:r>
      <w:r w:rsidR="008A0D00">
        <w:t xml:space="preserve"> </w:t>
      </w:r>
      <w:r w:rsidRPr="00C42325">
        <w:t>Administrative Conference of the United States</w:t>
      </w:r>
      <w:r w:rsidR="00C77B6C">
        <w:t xml:space="preserve"> (ACUS)</w:t>
      </w:r>
      <w:r w:rsidRPr="00C42325">
        <w:t xml:space="preserve">, </w:t>
      </w:r>
      <w:r w:rsidRPr="00C42325">
        <w:rPr>
          <w:i/>
          <w:iCs/>
        </w:rPr>
        <w:t xml:space="preserve">Recommendation 82-4: Procedures for Negotiating Proposed Regulations </w:t>
      </w:r>
      <w:r w:rsidRPr="00C42325">
        <w:t>(adopted June 18, 1982), (</w:t>
      </w:r>
      <w:r w:rsidRPr="00C42325">
        <w:rPr>
          <w:i/>
          <w:iCs/>
        </w:rPr>
        <w:t>Recommendation 82-4</w:t>
      </w:r>
      <w:r w:rsidRPr="00C42325">
        <w:t>),</w:t>
      </w:r>
      <w:r w:rsidR="00176439">
        <w:t xml:space="preserve"> </w:t>
      </w:r>
      <w:r w:rsidR="00CE2E32" w:rsidRPr="00C42325">
        <w:t>3–4</w:t>
      </w:r>
      <w:r w:rsidR="00CE2E32">
        <w:t>,</w:t>
      </w:r>
      <w:r w:rsidR="00CE2E32" w:rsidRPr="00C42325">
        <w:t xml:space="preserve"> </w:t>
      </w:r>
      <w:r w:rsidR="00176439">
        <w:t>found at</w:t>
      </w:r>
      <w:r w:rsidRPr="00C42325">
        <w:t> </w:t>
      </w:r>
      <w:hyperlink r:id="rId18" w:tgtFrame="_blank" w:history="1">
        <w:r w:rsidRPr="00C42325">
          <w:rPr>
            <w:rStyle w:val="Hyperlink"/>
          </w:rPr>
          <w:t>https://www.acus.gov/sites/default/files/documents/82-4.pdf</w:t>
        </w:r>
      </w:hyperlink>
      <w:r w:rsidRPr="00C42325">
        <w:t>, (factors bearing on decision to empanel a negotiating group)</w:t>
      </w:r>
      <w:r w:rsidR="00F000A3">
        <w:t xml:space="preserve">; </w:t>
      </w:r>
      <w:r w:rsidR="00F000A3" w:rsidRPr="00F000A3">
        <w:rPr>
          <w:i/>
          <w:iCs/>
        </w:rPr>
        <w:t>id</w:t>
      </w:r>
      <w:r w:rsidR="00F000A3">
        <w:t xml:space="preserve">. </w:t>
      </w:r>
      <w:r w:rsidRPr="00C42325">
        <w:t>Recommendation 4(c) (</w:t>
      </w:r>
      <w:r w:rsidR="005D0508">
        <w:t>“</w:t>
      </w:r>
      <w:r w:rsidRPr="00C42325">
        <w:t>[N]egotiations should ordinarily involve no more than 15 participants.</w:t>
      </w:r>
      <w:r w:rsidR="005D0508">
        <w:t>”</w:t>
      </w:r>
      <w:r w:rsidRPr="00C42325">
        <w:t>).</w:t>
      </w:r>
    </w:p>
  </w:footnote>
  <w:footnote w:id="74">
    <w:p w14:paraId="23045998" w14:textId="434AB98F" w:rsidR="00176439" w:rsidRDefault="00176439">
      <w:pPr>
        <w:pStyle w:val="FootnoteText"/>
      </w:pPr>
      <w:r>
        <w:rPr>
          <w:rStyle w:val="FootnoteReference"/>
        </w:rPr>
        <w:footnoteRef/>
      </w:r>
      <w:r>
        <w:t xml:space="preserve"> </w:t>
      </w:r>
      <w:r w:rsidRPr="00176439">
        <w:rPr>
          <w:i/>
          <w:iCs/>
        </w:rPr>
        <w:t>Recommendation 82-4</w:t>
      </w:r>
      <w:r w:rsidRPr="00176439">
        <w:t xml:space="preserve">; </w:t>
      </w:r>
      <w:r w:rsidRPr="00176439">
        <w:rPr>
          <w:i/>
          <w:iCs/>
        </w:rPr>
        <w:t>see also</w:t>
      </w:r>
      <w:r w:rsidRPr="00176439">
        <w:t xml:space="preserve"> Philip J Harter, </w:t>
      </w:r>
      <w:r w:rsidRPr="00176439">
        <w:rPr>
          <w:i/>
          <w:iCs/>
        </w:rPr>
        <w:t>Negotiating Regulations: A Cure for Malaise</w:t>
      </w:r>
      <w:r w:rsidRPr="00176439">
        <w:t>, 71 G</w:t>
      </w:r>
      <w:r w:rsidR="00A967B2">
        <w:t>eo</w:t>
      </w:r>
      <w:r w:rsidRPr="00176439">
        <w:t>. L.J. 1, 46 (1982), </w:t>
      </w:r>
      <w:r>
        <w:t xml:space="preserve">found at </w:t>
      </w:r>
      <w:hyperlink r:id="rId19" w:history="1">
        <w:r w:rsidR="00B40B84" w:rsidRPr="00903762">
          <w:rPr>
            <w:rStyle w:val="Hyperlink"/>
          </w:rPr>
          <w:t>https://www.acus.gov/sites/default/files/documents/1982-04%20Procedures%20for%20Negotiating%20Proposed%20Regulations.pdf</w:t>
        </w:r>
      </w:hyperlink>
      <w:r w:rsidRPr="00176439">
        <w:t>.</w:t>
      </w:r>
    </w:p>
  </w:footnote>
  <w:footnote w:id="75">
    <w:p w14:paraId="6E296BD1" w14:textId="77777777" w:rsidR="00ED1195" w:rsidRDefault="00ED1195" w:rsidP="00ED1195">
      <w:pPr>
        <w:pStyle w:val="FootnoteText"/>
      </w:pPr>
      <w:r>
        <w:rPr>
          <w:rStyle w:val="FootnoteReference"/>
        </w:rPr>
        <w:footnoteRef/>
      </w:r>
      <w:r>
        <w:t xml:space="preserve"> </w:t>
      </w:r>
      <w:r w:rsidRPr="008147C3">
        <w:t>Bykowsky/Sharkey</w:t>
      </w:r>
      <w:r>
        <w:t xml:space="preserve"> comments, 11–14.</w:t>
      </w:r>
    </w:p>
  </w:footnote>
  <w:footnote w:id="76">
    <w:p w14:paraId="7D0F7C82" w14:textId="577FB5A4" w:rsidR="00F30728" w:rsidRDefault="00F30728" w:rsidP="00ED1195">
      <w:pPr>
        <w:pStyle w:val="FootnoteText"/>
      </w:pPr>
      <w:r>
        <w:rPr>
          <w:rStyle w:val="FootnoteReference"/>
        </w:rPr>
        <w:footnoteRef/>
      </w:r>
      <w:r>
        <w:t xml:space="preserve"> NCTA comments</w:t>
      </w:r>
      <w:r w:rsidRPr="00786841">
        <w:t>, 3 (</w:t>
      </w:r>
      <w:r w:rsidR="005D0508">
        <w:t>“</w:t>
      </w:r>
      <w:r w:rsidRPr="00786841">
        <w:t>[T]he Commission would conduct interference analyses based on its determination of the receiver characteristics of a well-designed receiver using available technologies, rather than assuming hypothetical, worst-case scenario receivers.</w:t>
      </w:r>
      <w:r w:rsidR="005D0508">
        <w:t>”</w:t>
      </w:r>
      <w:r w:rsidRPr="00786841">
        <w:t>)</w:t>
      </w:r>
      <w:r w:rsidR="00EA43FA">
        <w:t>; PK/OTI comments, 5 (“</w:t>
      </w:r>
      <w:r w:rsidR="00EA43FA" w:rsidRPr="008859BA">
        <w:t xml:space="preserve">The Commission should state </w:t>
      </w:r>
      <w:r w:rsidR="00EA43FA">
        <w:t>. . .</w:t>
      </w:r>
      <w:r w:rsidR="00EA43FA" w:rsidRPr="008859BA">
        <w:t xml:space="preserve"> that it assumes certain basic characteristics of any receiver potentially impacted by the Commission</w:t>
      </w:r>
      <w:r w:rsidR="00EA43FA">
        <w:t>’</w:t>
      </w:r>
      <w:r w:rsidR="00EA43FA" w:rsidRPr="008859BA">
        <w:t>s decision</w:t>
      </w:r>
      <w:r w:rsidR="00EA43FA">
        <w:t>.”)</w:t>
      </w:r>
      <w:r w:rsidR="003C5952">
        <w:t>.</w:t>
      </w:r>
    </w:p>
  </w:footnote>
  <w:footnote w:id="77">
    <w:p w14:paraId="008904B0" w14:textId="0868B6FA" w:rsidR="008416D3" w:rsidRDefault="008416D3">
      <w:pPr>
        <w:pStyle w:val="FootnoteText"/>
      </w:pPr>
      <w:r>
        <w:rPr>
          <w:rStyle w:val="FootnoteReference"/>
        </w:rPr>
        <w:footnoteRef/>
      </w:r>
      <w:r>
        <w:t xml:space="preserve"> </w:t>
      </w:r>
      <w:r w:rsidR="00BA35A9" w:rsidRPr="00BA35A9">
        <w:rPr>
          <w:i/>
          <w:iCs/>
        </w:rPr>
        <w:t>Cf</w:t>
      </w:r>
      <w:r w:rsidR="00BA35A9">
        <w:t>. De Vries comments, 10 (Table 1).</w:t>
      </w:r>
    </w:p>
  </w:footnote>
  <w:footnote w:id="78">
    <w:p w14:paraId="562880C2" w14:textId="20B69A60" w:rsidR="00F30728" w:rsidRDefault="00F30728" w:rsidP="00232BE6">
      <w:pPr>
        <w:pStyle w:val="FootnoteText"/>
      </w:pPr>
      <w:r>
        <w:rPr>
          <w:rStyle w:val="FootnoteReference"/>
        </w:rPr>
        <w:footnoteRef/>
      </w:r>
      <w:r>
        <w:t xml:space="preserve"> NCTA</w:t>
      </w:r>
      <w:r w:rsidR="00942B71">
        <w:t xml:space="preserve"> comments</w:t>
      </w:r>
      <w:r>
        <w:t>, 17–18 (</w:t>
      </w:r>
      <w:r w:rsidR="005D0508">
        <w:t>“</w:t>
      </w:r>
      <w:r w:rsidRPr="00D34F88">
        <w:t>Likewise, as in the case of harm claim thresholds, some manufacturers and operators may decide that the cost of tolerating some level of interference is lower than the cost of investing in receivers that operate at industry standards.</w:t>
      </w:r>
      <w:r w:rsidR="005D0508">
        <w:t>”</w:t>
      </w:r>
      <w:r>
        <w:t>)</w:t>
      </w:r>
      <w:r w:rsidR="00EA43FA">
        <w:t>; PK/OTI comments, 17 (“Manufacturers and licensees would have notice to the extent that their receivers are now ‘substandard.’”); 5 (“</w:t>
      </w:r>
      <w:r w:rsidR="00EA43FA" w:rsidRPr="00A4399C">
        <w:t xml:space="preserve">Licensees (or other relevant stakeholders) may then make the decision as to whether they wish to continue to offer </w:t>
      </w:r>
      <w:r w:rsidR="00EA43FA">
        <w:t>‘</w:t>
      </w:r>
      <w:r w:rsidR="00EA43FA" w:rsidRPr="00A4399C">
        <w:t>substandard</w:t>
      </w:r>
      <w:r w:rsidR="00EA43FA">
        <w:t>’</w:t>
      </w:r>
      <w:r w:rsidR="00EA43FA" w:rsidRPr="00A4399C">
        <w:t xml:space="preserve"> receivers </w:t>
      </w:r>
      <w:r w:rsidR="00EA43FA">
        <w:t>. . . .).</w:t>
      </w:r>
    </w:p>
  </w:footnote>
  <w:footnote w:id="79">
    <w:p w14:paraId="6AE0844A" w14:textId="12C47A7C" w:rsidR="00F30728" w:rsidRDefault="00F30728" w:rsidP="00ED1195">
      <w:pPr>
        <w:pStyle w:val="FootnoteText"/>
      </w:pPr>
      <w:r>
        <w:rPr>
          <w:rStyle w:val="FootnoteReference"/>
        </w:rPr>
        <w:footnoteRef/>
      </w:r>
      <w:r>
        <w:t xml:space="preserve"> PK/OTI comments, </w:t>
      </w:r>
      <w:r w:rsidRPr="008F475F">
        <w:t>16 (</w:t>
      </w:r>
      <w:r w:rsidR="005D0508">
        <w:t>“</w:t>
      </w:r>
      <w:r w:rsidRPr="008F475F">
        <w:t xml:space="preserve">[T]hey would have every incentive to come forward as quickly as possible with relevant information as to the nature of their receivers and what characteristics they believe typify the </w:t>
      </w:r>
      <w:r w:rsidR="00572864">
        <w:t>‘</w:t>
      </w:r>
      <w:r w:rsidRPr="008F475F">
        <w:t>standard</w:t>
      </w:r>
      <w:r w:rsidR="00572864">
        <w:t>’</w:t>
      </w:r>
      <w:r w:rsidRPr="008F475F">
        <w:t xml:space="preserve"> receiver.</w:t>
      </w:r>
      <w:r w:rsidR="005D0508">
        <w:t>”</w:t>
      </w:r>
      <w:r w:rsidRPr="008F475F">
        <w:t>)</w:t>
      </w:r>
      <w:r>
        <w:t>.</w:t>
      </w:r>
    </w:p>
  </w:footnote>
  <w:footnote w:id="80">
    <w:p w14:paraId="424007B7" w14:textId="14DB34D9" w:rsidR="00F30728" w:rsidRDefault="00F30728" w:rsidP="00ED1195">
      <w:pPr>
        <w:pStyle w:val="FootnoteText"/>
      </w:pPr>
      <w:r>
        <w:rPr>
          <w:rStyle w:val="FootnoteReference"/>
        </w:rPr>
        <w:footnoteRef/>
      </w:r>
      <w:r>
        <w:t xml:space="preserve"> NCTA comments, 17 </w:t>
      </w:r>
      <w:r w:rsidRPr="000F75DA">
        <w:t>(</w:t>
      </w:r>
      <w:r w:rsidR="005D0508">
        <w:t>“</w:t>
      </w:r>
      <w:r w:rsidR="00F3603F">
        <w:t>[A]</w:t>
      </w:r>
      <w:r w:rsidRPr="000F75DA">
        <w:t xml:space="preserve"> reasonable receiver approach would incentivize investment in receivers that advance overall spectrum utility and would require parties to internalize the costs of relying on sub-standard receivers.</w:t>
      </w:r>
      <w:r w:rsidR="005D0508">
        <w:t>”</w:t>
      </w:r>
      <w:r>
        <w:t>).</w:t>
      </w:r>
    </w:p>
  </w:footnote>
  <w:footnote w:id="81">
    <w:p w14:paraId="2D74C2A3" w14:textId="30A7A908" w:rsidR="00F30728" w:rsidRDefault="00F30728" w:rsidP="00ED1195">
      <w:pPr>
        <w:pStyle w:val="FootnoteText"/>
      </w:pPr>
      <w:r>
        <w:rPr>
          <w:rStyle w:val="FootnoteReference"/>
        </w:rPr>
        <w:footnoteRef/>
      </w:r>
      <w:r>
        <w:t xml:space="preserve"> </w:t>
      </w:r>
      <w:r w:rsidRPr="005B23AC">
        <w:rPr>
          <w:i/>
          <w:iCs/>
        </w:rPr>
        <w:t>Cf</w:t>
      </w:r>
      <w:r>
        <w:t>. De Vries comments, 42 (</w:t>
      </w:r>
      <w:r w:rsidR="005D0508">
        <w:t>“</w:t>
      </w:r>
      <w:r>
        <w:t>[D]</w:t>
      </w:r>
      <w:r w:rsidRPr="00251DA0">
        <w:t>ifferent vendors have different product strategies and different customers have different preferences</w:t>
      </w:r>
      <w:r>
        <w:t>.</w:t>
      </w:r>
      <w:r w:rsidR="005D0508">
        <w:t>”</w:t>
      </w:r>
      <w:r>
        <w:t>)</w:t>
      </w:r>
      <w:r w:rsidR="007F5F21">
        <w:t>,</w:t>
      </w:r>
      <w:r>
        <w:t xml:space="preserve"> 35 (sixty values for the </w:t>
      </w:r>
      <w:r w:rsidRPr="00A703CB">
        <w:t>Department of Agriculture</w:t>
      </w:r>
      <w:r w:rsidR="005D0508">
        <w:t>’</w:t>
      </w:r>
      <w:r w:rsidRPr="00A703CB">
        <w:t>s VHF High-Band Receiver mandate</w:t>
      </w:r>
      <w:r>
        <w:t>).</w:t>
      </w:r>
    </w:p>
  </w:footnote>
  <w:footnote w:id="82">
    <w:p w14:paraId="735BA1CE" w14:textId="77777777" w:rsidR="00F30728" w:rsidRDefault="00F30728" w:rsidP="00ED1195">
      <w:pPr>
        <w:pStyle w:val="FootnoteText"/>
      </w:pPr>
      <w:r>
        <w:rPr>
          <w:rStyle w:val="FootnoteReference"/>
        </w:rPr>
        <w:footnoteRef/>
      </w:r>
      <w:r>
        <w:t xml:space="preserve"> De Vries comments, 33–35.</w:t>
      </w:r>
    </w:p>
  </w:footnote>
  <w:footnote w:id="83">
    <w:p w14:paraId="5D62D89E" w14:textId="680E936D" w:rsidR="0062066E" w:rsidRDefault="0062066E">
      <w:pPr>
        <w:pStyle w:val="FootnoteText"/>
      </w:pPr>
      <w:r>
        <w:rPr>
          <w:rStyle w:val="FootnoteReference"/>
        </w:rPr>
        <w:footnoteRef/>
      </w:r>
      <w:r>
        <w:t xml:space="preserve"> </w:t>
      </w:r>
      <w:r w:rsidRPr="00792CD9">
        <w:rPr>
          <w:i/>
          <w:iCs/>
        </w:rPr>
        <w:t>See</w:t>
      </w:r>
      <w:r w:rsidR="001B5A23">
        <w:rPr>
          <w:i/>
          <w:iCs/>
        </w:rPr>
        <w:t xml:space="preserve"> supra</w:t>
      </w:r>
      <w:r w:rsidR="004672FE">
        <w:t xml:space="preserve"> p.</w:t>
      </w:r>
      <w:r>
        <w:t xml:space="preserve"> </w:t>
      </w:r>
      <w:r w:rsidR="00942291">
        <w:fldChar w:fldCharType="begin"/>
      </w:r>
      <w:r w:rsidR="00942291">
        <w:instrText xml:space="preserve"> PAGEREF span \h </w:instrText>
      </w:r>
      <w:r w:rsidR="00942291">
        <w:fldChar w:fldCharType="separate"/>
      </w:r>
      <w:r w:rsidR="00942291">
        <w:rPr>
          <w:noProof/>
        </w:rPr>
        <w:t>4</w:t>
      </w:r>
      <w:r w:rsidR="00942291">
        <w:fldChar w:fldCharType="end"/>
      </w:r>
      <w:r w:rsidR="00942291">
        <w:t xml:space="preserve"> </w:t>
      </w:r>
      <w:r w:rsidR="001E62CF">
        <w:t>(</w:t>
      </w:r>
      <w:r w:rsidR="00942291">
        <w:fldChar w:fldCharType="begin"/>
      </w:r>
      <w:r w:rsidR="00942291">
        <w:instrText xml:space="preserve"> REF span \h </w:instrText>
      </w:r>
      <w:r w:rsidR="00942291">
        <w:fldChar w:fldCharType="separate"/>
      </w:r>
      <w:r w:rsidR="00942291" w:rsidRPr="00F95F2A">
        <w:t>span of assumptions</w:t>
      </w:r>
      <w:r w:rsidR="00942291">
        <w:fldChar w:fldCharType="end"/>
      </w:r>
      <w:r w:rsidR="001E62CF">
        <w:t>)</w:t>
      </w:r>
      <w:r w:rsidR="00792CD9">
        <w:t>.</w:t>
      </w:r>
      <w:r w:rsidR="00165040">
        <w:t xml:space="preserve"> </w:t>
      </w:r>
      <w:r w:rsidR="00165040" w:rsidRPr="00165040">
        <w:t xml:space="preserve">In the RF environment approach, an interference limit </w:t>
      </w:r>
      <w:r w:rsidR="00DC7918">
        <w:t>is</w:t>
      </w:r>
      <w:r w:rsidR="00165040" w:rsidRPr="00165040">
        <w:t xml:space="preserve"> a neutral coupling point between transmitting and receiving 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3E099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D0EA7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B7EE5"/>
    <w:multiLevelType w:val="multilevel"/>
    <w:tmpl w:val="94E0E586"/>
    <w:lvl w:ilvl="0">
      <w:start w:val="1"/>
      <w:numFmt w:val="none"/>
      <w:pStyle w:val="Heading1"/>
      <w:lvlText w:val=""/>
      <w:lvlJc w:val="left"/>
      <w:pPr>
        <w:ind w:left="0" w:firstLine="0"/>
      </w:pPr>
      <w:rPr>
        <w:rFonts w:hint="default"/>
      </w:rPr>
    </w:lvl>
    <w:lvl w:ilvl="1">
      <w:start w:val="1"/>
      <w:numFmt w:val="upperRoman"/>
      <w:pStyle w:val="Heading2"/>
      <w:lvlText w:val="%2."/>
      <w:lvlJc w:val="left"/>
      <w:pPr>
        <w:ind w:left="432" w:hanging="432"/>
      </w:pPr>
      <w:rPr>
        <w:rFonts w:hint="default"/>
      </w:rPr>
    </w:lvl>
    <w:lvl w:ilvl="2">
      <w:start w:val="1"/>
      <w:numFmt w:val="upperLetter"/>
      <w:pStyle w:val="Heading3"/>
      <w:lvlText w:val="%3."/>
      <w:lvlJc w:val="left"/>
      <w:pPr>
        <w:ind w:left="864" w:hanging="432"/>
      </w:pPr>
      <w:rPr>
        <w:rFonts w:hint="default"/>
      </w:rPr>
    </w:lvl>
    <w:lvl w:ilvl="3">
      <w:start w:val="1"/>
      <w:numFmt w:val="decimal"/>
      <w:pStyle w:val="Heading4"/>
      <w:lvlText w:val="%4."/>
      <w:lvlJc w:val="left"/>
      <w:pPr>
        <w:ind w:left="129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FA4B82"/>
    <w:multiLevelType w:val="multilevel"/>
    <w:tmpl w:val="0774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33BFF"/>
    <w:multiLevelType w:val="multilevel"/>
    <w:tmpl w:val="A6A8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5345F"/>
    <w:multiLevelType w:val="multilevel"/>
    <w:tmpl w:val="F620E58C"/>
    <w:lvl w:ilvl="0">
      <w:start w:val="1"/>
      <w:numFmt w:val="upperRoman"/>
      <w:lvlText w:val="%1."/>
      <w:lvlJc w:val="left"/>
      <w:pPr>
        <w:tabs>
          <w:tab w:val="num" w:pos="864"/>
        </w:tabs>
        <w:ind w:left="864" w:hanging="432"/>
      </w:pPr>
      <w:rPr>
        <w:rFonts w:hint="default"/>
      </w:rPr>
    </w:lvl>
    <w:lvl w:ilvl="1">
      <w:start w:val="1"/>
      <w:numFmt w:val="upperLetter"/>
      <w:lvlText w:val="%2."/>
      <w:lvlJc w:val="left"/>
      <w:pPr>
        <w:tabs>
          <w:tab w:val="num" w:pos="1296"/>
        </w:tabs>
        <w:ind w:left="1296" w:hanging="432"/>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decimal"/>
      <w:lvlText w:val="(%5)"/>
      <w:lvlJc w:val="left"/>
      <w:pPr>
        <w:tabs>
          <w:tab w:val="num" w:pos="2592"/>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lowerRoman"/>
      <w:lvlText w:val="(%7)"/>
      <w:lvlJc w:val="left"/>
      <w:pPr>
        <w:tabs>
          <w:tab w:val="num" w:pos="3456"/>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lowerRoman"/>
      <w:lvlText w:val="(%9)"/>
      <w:lvlJc w:val="left"/>
      <w:pPr>
        <w:tabs>
          <w:tab w:val="num" w:pos="4320"/>
        </w:tabs>
        <w:ind w:left="4320" w:hanging="432"/>
      </w:pPr>
      <w:rPr>
        <w:rFonts w:hint="default"/>
      </w:rPr>
    </w:lvl>
  </w:abstractNum>
  <w:abstractNum w:abstractNumId="6" w15:restartNumberingAfterBreak="0">
    <w:nsid w:val="25962979"/>
    <w:multiLevelType w:val="hybridMultilevel"/>
    <w:tmpl w:val="A07C3D34"/>
    <w:lvl w:ilvl="0" w:tplc="6D0CDCB6">
      <w:start w:val="1"/>
      <w:numFmt w:val="bullet"/>
      <w:pStyle w:val="ListBulletDoubleSp"/>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D75273C"/>
    <w:multiLevelType w:val="hybridMultilevel"/>
    <w:tmpl w:val="C830743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2D9E432C"/>
    <w:multiLevelType w:val="hybridMultilevel"/>
    <w:tmpl w:val="834451B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37CB377E"/>
    <w:multiLevelType w:val="hybridMultilevel"/>
    <w:tmpl w:val="1384094E"/>
    <w:lvl w:ilvl="0" w:tplc="2E665F92">
      <w:start w:val="1"/>
      <w:numFmt w:val="bullet"/>
      <w:pStyle w:val="List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5DB40EB2"/>
    <w:multiLevelType w:val="multilevel"/>
    <w:tmpl w:val="FAC4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9F5FB2"/>
    <w:multiLevelType w:val="hybridMultilevel"/>
    <w:tmpl w:val="A8FAF1F2"/>
    <w:lvl w:ilvl="0" w:tplc="0409000F">
      <w:start w:val="1"/>
      <w:numFmt w:val="decimal"/>
      <w:lvlText w:val="%1."/>
      <w:lvlJc w:val="left"/>
      <w:pPr>
        <w:ind w:left="792" w:hanging="360"/>
      </w:pPr>
      <w:rPr>
        <w:rFonts w:hint="default"/>
      </w:rPr>
    </w:lvl>
    <w:lvl w:ilvl="1" w:tplc="FFFFFFFF">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2" w15:restartNumberingAfterBreak="0">
    <w:nsid w:val="6D3F6634"/>
    <w:multiLevelType w:val="hybridMultilevel"/>
    <w:tmpl w:val="9AFC289E"/>
    <w:lvl w:ilvl="0" w:tplc="98F098EE">
      <w:start w:val="1"/>
      <w:numFmt w:val="decimal"/>
      <w:pStyle w:val="ListNumbDoubleSp"/>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16cid:durableId="1796756450">
    <w:abstractNumId w:val="1"/>
  </w:num>
  <w:num w:numId="2" w16cid:durableId="205139067">
    <w:abstractNumId w:val="9"/>
  </w:num>
  <w:num w:numId="3" w16cid:durableId="134572466">
    <w:abstractNumId w:val="6"/>
  </w:num>
  <w:num w:numId="4" w16cid:durableId="1350714574">
    <w:abstractNumId w:val="0"/>
  </w:num>
  <w:num w:numId="5" w16cid:durableId="501700653">
    <w:abstractNumId w:val="12"/>
  </w:num>
  <w:num w:numId="6" w16cid:durableId="77485004">
    <w:abstractNumId w:val="2"/>
  </w:num>
  <w:num w:numId="7" w16cid:durableId="1808741978">
    <w:abstractNumId w:val="7"/>
  </w:num>
  <w:num w:numId="8" w16cid:durableId="1734280531">
    <w:abstractNumId w:val="8"/>
  </w:num>
  <w:num w:numId="9" w16cid:durableId="1994478908">
    <w:abstractNumId w:val="5"/>
  </w:num>
  <w:num w:numId="10" w16cid:durableId="740516621">
    <w:abstractNumId w:val="3"/>
  </w:num>
  <w:num w:numId="11" w16cid:durableId="709186344">
    <w:abstractNumId w:val="4"/>
  </w:num>
  <w:num w:numId="12" w16cid:durableId="2060132250">
    <w:abstractNumId w:val="10"/>
  </w:num>
  <w:num w:numId="13" w16cid:durableId="367040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fullPage" w:percent="79"/>
  <w:removePersonalInformation/>
  <w:removeDateAndTim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2F"/>
    <w:rsid w:val="00000C76"/>
    <w:rsid w:val="00010062"/>
    <w:rsid w:val="00013A31"/>
    <w:rsid w:val="000151A7"/>
    <w:rsid w:val="00022F1A"/>
    <w:rsid w:val="000321BD"/>
    <w:rsid w:val="00034AB1"/>
    <w:rsid w:val="000351CC"/>
    <w:rsid w:val="0003649A"/>
    <w:rsid w:val="0003716B"/>
    <w:rsid w:val="00041BED"/>
    <w:rsid w:val="000437E2"/>
    <w:rsid w:val="000455DB"/>
    <w:rsid w:val="000462C2"/>
    <w:rsid w:val="0004775A"/>
    <w:rsid w:val="00053305"/>
    <w:rsid w:val="00053B66"/>
    <w:rsid w:val="00055139"/>
    <w:rsid w:val="00055FA3"/>
    <w:rsid w:val="000610A9"/>
    <w:rsid w:val="0006397D"/>
    <w:rsid w:val="00064575"/>
    <w:rsid w:val="00064FA3"/>
    <w:rsid w:val="0006560C"/>
    <w:rsid w:val="000722AC"/>
    <w:rsid w:val="0007522B"/>
    <w:rsid w:val="00075236"/>
    <w:rsid w:val="0007548B"/>
    <w:rsid w:val="00077950"/>
    <w:rsid w:val="000802F1"/>
    <w:rsid w:val="00081514"/>
    <w:rsid w:val="0008441F"/>
    <w:rsid w:val="0008766E"/>
    <w:rsid w:val="0008766F"/>
    <w:rsid w:val="0009608D"/>
    <w:rsid w:val="000A2F49"/>
    <w:rsid w:val="000A55C5"/>
    <w:rsid w:val="000B0EE4"/>
    <w:rsid w:val="000B30AE"/>
    <w:rsid w:val="000B4477"/>
    <w:rsid w:val="000B56E6"/>
    <w:rsid w:val="000C0C20"/>
    <w:rsid w:val="000C0CFE"/>
    <w:rsid w:val="000C1310"/>
    <w:rsid w:val="000C15B2"/>
    <w:rsid w:val="000C3461"/>
    <w:rsid w:val="000C47A0"/>
    <w:rsid w:val="000C70B3"/>
    <w:rsid w:val="000C74EF"/>
    <w:rsid w:val="000D1C5D"/>
    <w:rsid w:val="000D1CA5"/>
    <w:rsid w:val="000D262B"/>
    <w:rsid w:val="000D463C"/>
    <w:rsid w:val="000D4DEE"/>
    <w:rsid w:val="000D7510"/>
    <w:rsid w:val="000E3567"/>
    <w:rsid w:val="000E3A90"/>
    <w:rsid w:val="000E67E0"/>
    <w:rsid w:val="000F08D1"/>
    <w:rsid w:val="000F0AB0"/>
    <w:rsid w:val="000F1BF7"/>
    <w:rsid w:val="000F3152"/>
    <w:rsid w:val="000F32A1"/>
    <w:rsid w:val="000F5590"/>
    <w:rsid w:val="000F6BB3"/>
    <w:rsid w:val="000F76F6"/>
    <w:rsid w:val="0010055E"/>
    <w:rsid w:val="001043F2"/>
    <w:rsid w:val="00106300"/>
    <w:rsid w:val="0010745F"/>
    <w:rsid w:val="001076A0"/>
    <w:rsid w:val="001120E5"/>
    <w:rsid w:val="001124B5"/>
    <w:rsid w:val="00116C71"/>
    <w:rsid w:val="00116D90"/>
    <w:rsid w:val="00116F34"/>
    <w:rsid w:val="00123585"/>
    <w:rsid w:val="00123FAC"/>
    <w:rsid w:val="001308A6"/>
    <w:rsid w:val="0013279E"/>
    <w:rsid w:val="00132B07"/>
    <w:rsid w:val="001355A3"/>
    <w:rsid w:val="00136257"/>
    <w:rsid w:val="00136A07"/>
    <w:rsid w:val="00136B86"/>
    <w:rsid w:val="00137D24"/>
    <w:rsid w:val="0014772A"/>
    <w:rsid w:val="00147F0D"/>
    <w:rsid w:val="001503E3"/>
    <w:rsid w:val="00151E12"/>
    <w:rsid w:val="0015418F"/>
    <w:rsid w:val="001541D9"/>
    <w:rsid w:val="00154FC0"/>
    <w:rsid w:val="00155B4E"/>
    <w:rsid w:val="0016002B"/>
    <w:rsid w:val="001601E3"/>
    <w:rsid w:val="00163767"/>
    <w:rsid w:val="00164B97"/>
    <w:rsid w:val="00165040"/>
    <w:rsid w:val="001669C5"/>
    <w:rsid w:val="001670B1"/>
    <w:rsid w:val="00167420"/>
    <w:rsid w:val="00167DB7"/>
    <w:rsid w:val="00167EC6"/>
    <w:rsid w:val="00173565"/>
    <w:rsid w:val="00176439"/>
    <w:rsid w:val="00177353"/>
    <w:rsid w:val="0017776A"/>
    <w:rsid w:val="00177851"/>
    <w:rsid w:val="001805C4"/>
    <w:rsid w:val="00181ACE"/>
    <w:rsid w:val="001836C3"/>
    <w:rsid w:val="00183D50"/>
    <w:rsid w:val="00186BA6"/>
    <w:rsid w:val="00187CDA"/>
    <w:rsid w:val="00192D5C"/>
    <w:rsid w:val="0019526F"/>
    <w:rsid w:val="001A5D0C"/>
    <w:rsid w:val="001A7034"/>
    <w:rsid w:val="001A7101"/>
    <w:rsid w:val="001B1583"/>
    <w:rsid w:val="001B2728"/>
    <w:rsid w:val="001B4BED"/>
    <w:rsid w:val="001B5A23"/>
    <w:rsid w:val="001C23D6"/>
    <w:rsid w:val="001C2FFC"/>
    <w:rsid w:val="001C390B"/>
    <w:rsid w:val="001C3C73"/>
    <w:rsid w:val="001C470F"/>
    <w:rsid w:val="001C4AAC"/>
    <w:rsid w:val="001C520B"/>
    <w:rsid w:val="001D1681"/>
    <w:rsid w:val="001D40DF"/>
    <w:rsid w:val="001D56EE"/>
    <w:rsid w:val="001E082D"/>
    <w:rsid w:val="001E0D0E"/>
    <w:rsid w:val="001E218B"/>
    <w:rsid w:val="001E62CF"/>
    <w:rsid w:val="001E6EA6"/>
    <w:rsid w:val="001F02E3"/>
    <w:rsid w:val="001F0EA1"/>
    <w:rsid w:val="001F2008"/>
    <w:rsid w:val="001F228C"/>
    <w:rsid w:val="001F251D"/>
    <w:rsid w:val="001F2B0F"/>
    <w:rsid w:val="001F5233"/>
    <w:rsid w:val="001F6874"/>
    <w:rsid w:val="00200B2C"/>
    <w:rsid w:val="00201057"/>
    <w:rsid w:val="0020182A"/>
    <w:rsid w:val="00201AFA"/>
    <w:rsid w:val="00205BB7"/>
    <w:rsid w:val="00207231"/>
    <w:rsid w:val="0021296D"/>
    <w:rsid w:val="00213102"/>
    <w:rsid w:val="00215981"/>
    <w:rsid w:val="00217AFC"/>
    <w:rsid w:val="00222CF1"/>
    <w:rsid w:val="00224765"/>
    <w:rsid w:val="00225D9A"/>
    <w:rsid w:val="00227535"/>
    <w:rsid w:val="00231728"/>
    <w:rsid w:val="00232BE6"/>
    <w:rsid w:val="00233E5C"/>
    <w:rsid w:val="002403B8"/>
    <w:rsid w:val="00241D56"/>
    <w:rsid w:val="0024365F"/>
    <w:rsid w:val="00244E59"/>
    <w:rsid w:val="0024691A"/>
    <w:rsid w:val="00246C44"/>
    <w:rsid w:val="00250B73"/>
    <w:rsid w:val="00253AF7"/>
    <w:rsid w:val="00257D9A"/>
    <w:rsid w:val="00261FEE"/>
    <w:rsid w:val="002637C7"/>
    <w:rsid w:val="0026485A"/>
    <w:rsid w:val="00264B3B"/>
    <w:rsid w:val="002705E6"/>
    <w:rsid w:val="00270757"/>
    <w:rsid w:val="00272B4F"/>
    <w:rsid w:val="00280200"/>
    <w:rsid w:val="00281C96"/>
    <w:rsid w:val="0028349E"/>
    <w:rsid w:val="00290450"/>
    <w:rsid w:val="0029085C"/>
    <w:rsid w:val="00293B49"/>
    <w:rsid w:val="002946CC"/>
    <w:rsid w:val="00295901"/>
    <w:rsid w:val="00295B8B"/>
    <w:rsid w:val="00295BEE"/>
    <w:rsid w:val="002A0A45"/>
    <w:rsid w:val="002A10F0"/>
    <w:rsid w:val="002A11FF"/>
    <w:rsid w:val="002A2677"/>
    <w:rsid w:val="002A2922"/>
    <w:rsid w:val="002A5915"/>
    <w:rsid w:val="002A72D5"/>
    <w:rsid w:val="002A78E7"/>
    <w:rsid w:val="002B101B"/>
    <w:rsid w:val="002B2198"/>
    <w:rsid w:val="002B3667"/>
    <w:rsid w:val="002B37D6"/>
    <w:rsid w:val="002B41A3"/>
    <w:rsid w:val="002B699A"/>
    <w:rsid w:val="002B760E"/>
    <w:rsid w:val="002C3020"/>
    <w:rsid w:val="002C4DF0"/>
    <w:rsid w:val="002C5256"/>
    <w:rsid w:val="002C6AB5"/>
    <w:rsid w:val="002C7A12"/>
    <w:rsid w:val="002D2334"/>
    <w:rsid w:val="002D747E"/>
    <w:rsid w:val="002F09DB"/>
    <w:rsid w:val="002F1169"/>
    <w:rsid w:val="002F1732"/>
    <w:rsid w:val="002F1A2E"/>
    <w:rsid w:val="002F2317"/>
    <w:rsid w:val="002F26C8"/>
    <w:rsid w:val="002F3F5A"/>
    <w:rsid w:val="002F57AC"/>
    <w:rsid w:val="002F5D36"/>
    <w:rsid w:val="002F74DF"/>
    <w:rsid w:val="00302103"/>
    <w:rsid w:val="00303094"/>
    <w:rsid w:val="00304113"/>
    <w:rsid w:val="00304378"/>
    <w:rsid w:val="003048F1"/>
    <w:rsid w:val="00310148"/>
    <w:rsid w:val="00310ABB"/>
    <w:rsid w:val="003114AC"/>
    <w:rsid w:val="00311890"/>
    <w:rsid w:val="00311E2A"/>
    <w:rsid w:val="00311FC2"/>
    <w:rsid w:val="00312BAC"/>
    <w:rsid w:val="003170CC"/>
    <w:rsid w:val="0032052E"/>
    <w:rsid w:val="00320EB4"/>
    <w:rsid w:val="00321205"/>
    <w:rsid w:val="00321F72"/>
    <w:rsid w:val="003230AE"/>
    <w:rsid w:val="00324977"/>
    <w:rsid w:val="003253D6"/>
    <w:rsid w:val="00331C8B"/>
    <w:rsid w:val="00333423"/>
    <w:rsid w:val="00336298"/>
    <w:rsid w:val="003373E7"/>
    <w:rsid w:val="003375F6"/>
    <w:rsid w:val="00337A41"/>
    <w:rsid w:val="00340852"/>
    <w:rsid w:val="0034143E"/>
    <w:rsid w:val="00342A78"/>
    <w:rsid w:val="003437A1"/>
    <w:rsid w:val="003454C1"/>
    <w:rsid w:val="003454EA"/>
    <w:rsid w:val="00347591"/>
    <w:rsid w:val="00347BB7"/>
    <w:rsid w:val="003507FC"/>
    <w:rsid w:val="0035389E"/>
    <w:rsid w:val="0035401E"/>
    <w:rsid w:val="003566D4"/>
    <w:rsid w:val="00363691"/>
    <w:rsid w:val="00365C71"/>
    <w:rsid w:val="00366633"/>
    <w:rsid w:val="00370133"/>
    <w:rsid w:val="00371652"/>
    <w:rsid w:val="00371B8A"/>
    <w:rsid w:val="0037266D"/>
    <w:rsid w:val="00373007"/>
    <w:rsid w:val="00373690"/>
    <w:rsid w:val="0037555C"/>
    <w:rsid w:val="00376A55"/>
    <w:rsid w:val="00377B79"/>
    <w:rsid w:val="00381C84"/>
    <w:rsid w:val="00381E60"/>
    <w:rsid w:val="00385B28"/>
    <w:rsid w:val="003861F9"/>
    <w:rsid w:val="00387205"/>
    <w:rsid w:val="00390193"/>
    <w:rsid w:val="0039026D"/>
    <w:rsid w:val="00390DA7"/>
    <w:rsid w:val="0039166E"/>
    <w:rsid w:val="003929D1"/>
    <w:rsid w:val="003930FB"/>
    <w:rsid w:val="0039406C"/>
    <w:rsid w:val="003943F5"/>
    <w:rsid w:val="00395275"/>
    <w:rsid w:val="0039564F"/>
    <w:rsid w:val="003970E6"/>
    <w:rsid w:val="003A1141"/>
    <w:rsid w:val="003A2EDC"/>
    <w:rsid w:val="003A54E2"/>
    <w:rsid w:val="003B1392"/>
    <w:rsid w:val="003B249D"/>
    <w:rsid w:val="003B34CB"/>
    <w:rsid w:val="003B56E8"/>
    <w:rsid w:val="003B6E00"/>
    <w:rsid w:val="003C1C45"/>
    <w:rsid w:val="003C1F07"/>
    <w:rsid w:val="003C5952"/>
    <w:rsid w:val="003D09E9"/>
    <w:rsid w:val="003D0CA2"/>
    <w:rsid w:val="003D0CD9"/>
    <w:rsid w:val="003D15EC"/>
    <w:rsid w:val="003D245C"/>
    <w:rsid w:val="003D3CC2"/>
    <w:rsid w:val="003E0922"/>
    <w:rsid w:val="003E4917"/>
    <w:rsid w:val="003E5231"/>
    <w:rsid w:val="003E59E1"/>
    <w:rsid w:val="003E7594"/>
    <w:rsid w:val="003F1B22"/>
    <w:rsid w:val="003F3DB3"/>
    <w:rsid w:val="003F40D3"/>
    <w:rsid w:val="00402C66"/>
    <w:rsid w:val="0040315D"/>
    <w:rsid w:val="004051F8"/>
    <w:rsid w:val="0040579C"/>
    <w:rsid w:val="00405C46"/>
    <w:rsid w:val="00405EE1"/>
    <w:rsid w:val="00407DE0"/>
    <w:rsid w:val="00410FA0"/>
    <w:rsid w:val="00416910"/>
    <w:rsid w:val="00421FBD"/>
    <w:rsid w:val="0042382E"/>
    <w:rsid w:val="0042412C"/>
    <w:rsid w:val="00424362"/>
    <w:rsid w:val="0042544B"/>
    <w:rsid w:val="00430275"/>
    <w:rsid w:val="00430D0D"/>
    <w:rsid w:val="00431015"/>
    <w:rsid w:val="00431568"/>
    <w:rsid w:val="004369BB"/>
    <w:rsid w:val="0043707F"/>
    <w:rsid w:val="004409A4"/>
    <w:rsid w:val="004432D7"/>
    <w:rsid w:val="00443BAD"/>
    <w:rsid w:val="00451484"/>
    <w:rsid w:val="00453A59"/>
    <w:rsid w:val="00453B8D"/>
    <w:rsid w:val="00457285"/>
    <w:rsid w:val="0046099C"/>
    <w:rsid w:val="00460C94"/>
    <w:rsid w:val="00460E93"/>
    <w:rsid w:val="004623B7"/>
    <w:rsid w:val="00463011"/>
    <w:rsid w:val="004631DB"/>
    <w:rsid w:val="0046332E"/>
    <w:rsid w:val="00463D42"/>
    <w:rsid w:val="00465384"/>
    <w:rsid w:val="00467273"/>
    <w:rsid w:val="004672FE"/>
    <w:rsid w:val="004728B0"/>
    <w:rsid w:val="004729E2"/>
    <w:rsid w:val="00474928"/>
    <w:rsid w:val="0047661E"/>
    <w:rsid w:val="004776FF"/>
    <w:rsid w:val="00482B2F"/>
    <w:rsid w:val="00483295"/>
    <w:rsid w:val="00484DF8"/>
    <w:rsid w:val="00485EFE"/>
    <w:rsid w:val="0048763D"/>
    <w:rsid w:val="0049034D"/>
    <w:rsid w:val="0049127E"/>
    <w:rsid w:val="00491FBA"/>
    <w:rsid w:val="00492931"/>
    <w:rsid w:val="0049312C"/>
    <w:rsid w:val="004953E5"/>
    <w:rsid w:val="0049579F"/>
    <w:rsid w:val="00496B60"/>
    <w:rsid w:val="004A08AC"/>
    <w:rsid w:val="004A0FA2"/>
    <w:rsid w:val="004A2B1E"/>
    <w:rsid w:val="004A49EF"/>
    <w:rsid w:val="004A4F74"/>
    <w:rsid w:val="004A5E2B"/>
    <w:rsid w:val="004A7DEB"/>
    <w:rsid w:val="004B1D08"/>
    <w:rsid w:val="004B28E6"/>
    <w:rsid w:val="004B2EA6"/>
    <w:rsid w:val="004B2F77"/>
    <w:rsid w:val="004B6043"/>
    <w:rsid w:val="004C395B"/>
    <w:rsid w:val="004C4DD4"/>
    <w:rsid w:val="004C54C7"/>
    <w:rsid w:val="004D0267"/>
    <w:rsid w:val="004D4A93"/>
    <w:rsid w:val="004D656D"/>
    <w:rsid w:val="004E0848"/>
    <w:rsid w:val="004E3797"/>
    <w:rsid w:val="004E4E6A"/>
    <w:rsid w:val="004E5C09"/>
    <w:rsid w:val="004F2321"/>
    <w:rsid w:val="004F5938"/>
    <w:rsid w:val="005009EE"/>
    <w:rsid w:val="005017E9"/>
    <w:rsid w:val="00502094"/>
    <w:rsid w:val="005034A3"/>
    <w:rsid w:val="00507199"/>
    <w:rsid w:val="00511BB9"/>
    <w:rsid w:val="00520FB2"/>
    <w:rsid w:val="00524001"/>
    <w:rsid w:val="00525442"/>
    <w:rsid w:val="00530C42"/>
    <w:rsid w:val="005344B7"/>
    <w:rsid w:val="005353A0"/>
    <w:rsid w:val="005401D4"/>
    <w:rsid w:val="00541C4B"/>
    <w:rsid w:val="00546651"/>
    <w:rsid w:val="00547E41"/>
    <w:rsid w:val="005515D2"/>
    <w:rsid w:val="00552F08"/>
    <w:rsid w:val="00554941"/>
    <w:rsid w:val="00554A6A"/>
    <w:rsid w:val="005619D6"/>
    <w:rsid w:val="00561D9B"/>
    <w:rsid w:val="005633A2"/>
    <w:rsid w:val="005636EC"/>
    <w:rsid w:val="0056373A"/>
    <w:rsid w:val="00563B24"/>
    <w:rsid w:val="00564ABD"/>
    <w:rsid w:val="005654DE"/>
    <w:rsid w:val="00565FF8"/>
    <w:rsid w:val="00566CAE"/>
    <w:rsid w:val="00566F46"/>
    <w:rsid w:val="00567A5A"/>
    <w:rsid w:val="0057082A"/>
    <w:rsid w:val="00570B03"/>
    <w:rsid w:val="00571241"/>
    <w:rsid w:val="00571985"/>
    <w:rsid w:val="00572864"/>
    <w:rsid w:val="00572C1F"/>
    <w:rsid w:val="00573F96"/>
    <w:rsid w:val="00574255"/>
    <w:rsid w:val="0057448E"/>
    <w:rsid w:val="005748D7"/>
    <w:rsid w:val="00574937"/>
    <w:rsid w:val="00575262"/>
    <w:rsid w:val="005806FB"/>
    <w:rsid w:val="00582723"/>
    <w:rsid w:val="00590776"/>
    <w:rsid w:val="00590837"/>
    <w:rsid w:val="005920EA"/>
    <w:rsid w:val="00593EEB"/>
    <w:rsid w:val="005A0EBB"/>
    <w:rsid w:val="005A2D58"/>
    <w:rsid w:val="005A30ED"/>
    <w:rsid w:val="005A3159"/>
    <w:rsid w:val="005A7344"/>
    <w:rsid w:val="005B0570"/>
    <w:rsid w:val="005B0E66"/>
    <w:rsid w:val="005B12D5"/>
    <w:rsid w:val="005B195B"/>
    <w:rsid w:val="005B23AC"/>
    <w:rsid w:val="005B55DF"/>
    <w:rsid w:val="005B7C25"/>
    <w:rsid w:val="005C1535"/>
    <w:rsid w:val="005C19CF"/>
    <w:rsid w:val="005C56DA"/>
    <w:rsid w:val="005C5D6F"/>
    <w:rsid w:val="005C7F00"/>
    <w:rsid w:val="005D0508"/>
    <w:rsid w:val="005D1C4C"/>
    <w:rsid w:val="005D22ED"/>
    <w:rsid w:val="005D2830"/>
    <w:rsid w:val="005D70DB"/>
    <w:rsid w:val="005D766D"/>
    <w:rsid w:val="005E04C7"/>
    <w:rsid w:val="005E0536"/>
    <w:rsid w:val="005E3223"/>
    <w:rsid w:val="005F1A01"/>
    <w:rsid w:val="005F1B8B"/>
    <w:rsid w:val="005F21CA"/>
    <w:rsid w:val="005F36B0"/>
    <w:rsid w:val="005F3D07"/>
    <w:rsid w:val="005F483E"/>
    <w:rsid w:val="005F5194"/>
    <w:rsid w:val="006040AF"/>
    <w:rsid w:val="00611BD5"/>
    <w:rsid w:val="00611E1E"/>
    <w:rsid w:val="0061230A"/>
    <w:rsid w:val="00612D7B"/>
    <w:rsid w:val="006137A1"/>
    <w:rsid w:val="00614DB3"/>
    <w:rsid w:val="0061560C"/>
    <w:rsid w:val="006156B9"/>
    <w:rsid w:val="006200F7"/>
    <w:rsid w:val="00620587"/>
    <w:rsid w:val="0062066E"/>
    <w:rsid w:val="00621A8B"/>
    <w:rsid w:val="00622890"/>
    <w:rsid w:val="0062437C"/>
    <w:rsid w:val="00630F5A"/>
    <w:rsid w:val="00631D7F"/>
    <w:rsid w:val="006375AE"/>
    <w:rsid w:val="00637ACF"/>
    <w:rsid w:val="00637FCD"/>
    <w:rsid w:val="0064125B"/>
    <w:rsid w:val="00641C0A"/>
    <w:rsid w:val="00641E73"/>
    <w:rsid w:val="006432F6"/>
    <w:rsid w:val="006451A7"/>
    <w:rsid w:val="006478D6"/>
    <w:rsid w:val="0065406E"/>
    <w:rsid w:val="00657799"/>
    <w:rsid w:val="00660FDA"/>
    <w:rsid w:val="00664A56"/>
    <w:rsid w:val="006659B0"/>
    <w:rsid w:val="00666A51"/>
    <w:rsid w:val="00666BC1"/>
    <w:rsid w:val="006713EA"/>
    <w:rsid w:val="00671D37"/>
    <w:rsid w:val="00676E5D"/>
    <w:rsid w:val="00681557"/>
    <w:rsid w:val="00683BC9"/>
    <w:rsid w:val="0068405B"/>
    <w:rsid w:val="00687C0A"/>
    <w:rsid w:val="0069027B"/>
    <w:rsid w:val="0069331A"/>
    <w:rsid w:val="006935DB"/>
    <w:rsid w:val="006936A8"/>
    <w:rsid w:val="00694348"/>
    <w:rsid w:val="0069487F"/>
    <w:rsid w:val="00695E97"/>
    <w:rsid w:val="00697BC7"/>
    <w:rsid w:val="006A0075"/>
    <w:rsid w:val="006A073E"/>
    <w:rsid w:val="006A7695"/>
    <w:rsid w:val="006B25ED"/>
    <w:rsid w:val="006B2E40"/>
    <w:rsid w:val="006B4FEE"/>
    <w:rsid w:val="006B791B"/>
    <w:rsid w:val="006C1477"/>
    <w:rsid w:val="006C37DD"/>
    <w:rsid w:val="006C42F5"/>
    <w:rsid w:val="006D0F9D"/>
    <w:rsid w:val="006D1729"/>
    <w:rsid w:val="006D2B6A"/>
    <w:rsid w:val="006D30CA"/>
    <w:rsid w:val="006D505E"/>
    <w:rsid w:val="006D54DC"/>
    <w:rsid w:val="006D7CA6"/>
    <w:rsid w:val="006E060E"/>
    <w:rsid w:val="006E1A32"/>
    <w:rsid w:val="006E235F"/>
    <w:rsid w:val="006E383A"/>
    <w:rsid w:val="006E4520"/>
    <w:rsid w:val="006E6DB0"/>
    <w:rsid w:val="006F1667"/>
    <w:rsid w:val="006F4122"/>
    <w:rsid w:val="006F4429"/>
    <w:rsid w:val="006F6761"/>
    <w:rsid w:val="006F7575"/>
    <w:rsid w:val="006F7674"/>
    <w:rsid w:val="006F7E21"/>
    <w:rsid w:val="007006FF"/>
    <w:rsid w:val="00705DF6"/>
    <w:rsid w:val="00705E37"/>
    <w:rsid w:val="00706725"/>
    <w:rsid w:val="00707D7C"/>
    <w:rsid w:val="00707E6E"/>
    <w:rsid w:val="00710806"/>
    <w:rsid w:val="00710BF8"/>
    <w:rsid w:val="00714160"/>
    <w:rsid w:val="00716FE5"/>
    <w:rsid w:val="0071778F"/>
    <w:rsid w:val="007177F0"/>
    <w:rsid w:val="00720551"/>
    <w:rsid w:val="00720748"/>
    <w:rsid w:val="0072235B"/>
    <w:rsid w:val="00722846"/>
    <w:rsid w:val="00725DE0"/>
    <w:rsid w:val="00731337"/>
    <w:rsid w:val="0073138B"/>
    <w:rsid w:val="007320C3"/>
    <w:rsid w:val="00735428"/>
    <w:rsid w:val="00737043"/>
    <w:rsid w:val="00742CED"/>
    <w:rsid w:val="00743A2D"/>
    <w:rsid w:val="007452F6"/>
    <w:rsid w:val="00745690"/>
    <w:rsid w:val="0075043C"/>
    <w:rsid w:val="00752B67"/>
    <w:rsid w:val="007540ED"/>
    <w:rsid w:val="00760525"/>
    <w:rsid w:val="0076175A"/>
    <w:rsid w:val="00761BAE"/>
    <w:rsid w:val="00763CC0"/>
    <w:rsid w:val="0076641D"/>
    <w:rsid w:val="00767E4B"/>
    <w:rsid w:val="00770632"/>
    <w:rsid w:val="007725B5"/>
    <w:rsid w:val="00774E4C"/>
    <w:rsid w:val="00775B21"/>
    <w:rsid w:val="00776F82"/>
    <w:rsid w:val="00780380"/>
    <w:rsid w:val="00781288"/>
    <w:rsid w:val="0078186C"/>
    <w:rsid w:val="00781A0D"/>
    <w:rsid w:val="00781CB5"/>
    <w:rsid w:val="00783F8A"/>
    <w:rsid w:val="007842FB"/>
    <w:rsid w:val="00787D87"/>
    <w:rsid w:val="00790465"/>
    <w:rsid w:val="007920E2"/>
    <w:rsid w:val="00792CD9"/>
    <w:rsid w:val="007932E5"/>
    <w:rsid w:val="00795800"/>
    <w:rsid w:val="00795931"/>
    <w:rsid w:val="0079593C"/>
    <w:rsid w:val="00795A31"/>
    <w:rsid w:val="007A0CB2"/>
    <w:rsid w:val="007A159E"/>
    <w:rsid w:val="007A28A5"/>
    <w:rsid w:val="007A4670"/>
    <w:rsid w:val="007A490B"/>
    <w:rsid w:val="007A7CFE"/>
    <w:rsid w:val="007A7F1D"/>
    <w:rsid w:val="007B389D"/>
    <w:rsid w:val="007B441A"/>
    <w:rsid w:val="007B6720"/>
    <w:rsid w:val="007C29EF"/>
    <w:rsid w:val="007C456B"/>
    <w:rsid w:val="007C5BC6"/>
    <w:rsid w:val="007D133E"/>
    <w:rsid w:val="007D1D78"/>
    <w:rsid w:val="007E0C5A"/>
    <w:rsid w:val="007E670B"/>
    <w:rsid w:val="007E7C52"/>
    <w:rsid w:val="007F2959"/>
    <w:rsid w:val="007F3195"/>
    <w:rsid w:val="007F3571"/>
    <w:rsid w:val="007F37CD"/>
    <w:rsid w:val="007F4B7C"/>
    <w:rsid w:val="007F5F21"/>
    <w:rsid w:val="007F75EB"/>
    <w:rsid w:val="008050F9"/>
    <w:rsid w:val="00805CCB"/>
    <w:rsid w:val="00811C2F"/>
    <w:rsid w:val="00814834"/>
    <w:rsid w:val="00814BFA"/>
    <w:rsid w:val="0081605C"/>
    <w:rsid w:val="00817238"/>
    <w:rsid w:val="008179D2"/>
    <w:rsid w:val="00817FE7"/>
    <w:rsid w:val="00822F89"/>
    <w:rsid w:val="00823A6D"/>
    <w:rsid w:val="00825745"/>
    <w:rsid w:val="00825F6F"/>
    <w:rsid w:val="00827FF0"/>
    <w:rsid w:val="00832125"/>
    <w:rsid w:val="00834C58"/>
    <w:rsid w:val="00834F60"/>
    <w:rsid w:val="0083538F"/>
    <w:rsid w:val="008416D3"/>
    <w:rsid w:val="00842046"/>
    <w:rsid w:val="00846785"/>
    <w:rsid w:val="0085176F"/>
    <w:rsid w:val="00852528"/>
    <w:rsid w:val="00852F74"/>
    <w:rsid w:val="00853635"/>
    <w:rsid w:val="00854C2B"/>
    <w:rsid w:val="00854FB5"/>
    <w:rsid w:val="008556F1"/>
    <w:rsid w:val="0085589F"/>
    <w:rsid w:val="0086081E"/>
    <w:rsid w:val="008620D8"/>
    <w:rsid w:val="008632E8"/>
    <w:rsid w:val="00864941"/>
    <w:rsid w:val="00864A98"/>
    <w:rsid w:val="00867DD7"/>
    <w:rsid w:val="008728FC"/>
    <w:rsid w:val="00874D4D"/>
    <w:rsid w:val="0087699E"/>
    <w:rsid w:val="00880116"/>
    <w:rsid w:val="00882932"/>
    <w:rsid w:val="00884D9D"/>
    <w:rsid w:val="0088634D"/>
    <w:rsid w:val="008865E8"/>
    <w:rsid w:val="00891E34"/>
    <w:rsid w:val="00892C73"/>
    <w:rsid w:val="00895300"/>
    <w:rsid w:val="00895307"/>
    <w:rsid w:val="008A0D00"/>
    <w:rsid w:val="008A1EC3"/>
    <w:rsid w:val="008A40D2"/>
    <w:rsid w:val="008A4802"/>
    <w:rsid w:val="008A6905"/>
    <w:rsid w:val="008B0078"/>
    <w:rsid w:val="008B185C"/>
    <w:rsid w:val="008B293D"/>
    <w:rsid w:val="008B3146"/>
    <w:rsid w:val="008B4468"/>
    <w:rsid w:val="008B46AF"/>
    <w:rsid w:val="008B5A5E"/>
    <w:rsid w:val="008B6371"/>
    <w:rsid w:val="008B6737"/>
    <w:rsid w:val="008C1257"/>
    <w:rsid w:val="008C3BF3"/>
    <w:rsid w:val="008D043B"/>
    <w:rsid w:val="008D0FDF"/>
    <w:rsid w:val="008D21DF"/>
    <w:rsid w:val="008D27E3"/>
    <w:rsid w:val="008D2C75"/>
    <w:rsid w:val="008D2E0D"/>
    <w:rsid w:val="008D619C"/>
    <w:rsid w:val="008D6E8C"/>
    <w:rsid w:val="008E0267"/>
    <w:rsid w:val="008E2AA3"/>
    <w:rsid w:val="008E3108"/>
    <w:rsid w:val="008E50AB"/>
    <w:rsid w:val="008E62D5"/>
    <w:rsid w:val="008F143B"/>
    <w:rsid w:val="008F5100"/>
    <w:rsid w:val="008F5936"/>
    <w:rsid w:val="008F7181"/>
    <w:rsid w:val="008F7485"/>
    <w:rsid w:val="008F7EA2"/>
    <w:rsid w:val="00901C81"/>
    <w:rsid w:val="00903C48"/>
    <w:rsid w:val="00905A6C"/>
    <w:rsid w:val="00905D9D"/>
    <w:rsid w:val="00905EDE"/>
    <w:rsid w:val="00905F30"/>
    <w:rsid w:val="00910BC6"/>
    <w:rsid w:val="0091356C"/>
    <w:rsid w:val="009137BC"/>
    <w:rsid w:val="00913BBF"/>
    <w:rsid w:val="0091414D"/>
    <w:rsid w:val="00917B4A"/>
    <w:rsid w:val="00917D92"/>
    <w:rsid w:val="0092079F"/>
    <w:rsid w:val="009244D8"/>
    <w:rsid w:val="00924973"/>
    <w:rsid w:val="00924F41"/>
    <w:rsid w:val="009258D9"/>
    <w:rsid w:val="00927B09"/>
    <w:rsid w:val="00932283"/>
    <w:rsid w:val="00932E4C"/>
    <w:rsid w:val="00940118"/>
    <w:rsid w:val="00941C3F"/>
    <w:rsid w:val="00941D00"/>
    <w:rsid w:val="00942291"/>
    <w:rsid w:val="00942B71"/>
    <w:rsid w:val="009438F0"/>
    <w:rsid w:val="00945336"/>
    <w:rsid w:val="00951E5E"/>
    <w:rsid w:val="00951FC8"/>
    <w:rsid w:val="0095397B"/>
    <w:rsid w:val="00953E0C"/>
    <w:rsid w:val="00957700"/>
    <w:rsid w:val="009579CD"/>
    <w:rsid w:val="00961686"/>
    <w:rsid w:val="00963C4E"/>
    <w:rsid w:val="00965359"/>
    <w:rsid w:val="00967275"/>
    <w:rsid w:val="00967EFE"/>
    <w:rsid w:val="009700F4"/>
    <w:rsid w:val="009706C1"/>
    <w:rsid w:val="00970A09"/>
    <w:rsid w:val="009712EC"/>
    <w:rsid w:val="009741A4"/>
    <w:rsid w:val="00974E67"/>
    <w:rsid w:val="00974E92"/>
    <w:rsid w:val="0097578D"/>
    <w:rsid w:val="00981729"/>
    <w:rsid w:val="009817BC"/>
    <w:rsid w:val="00984325"/>
    <w:rsid w:val="00994491"/>
    <w:rsid w:val="00995012"/>
    <w:rsid w:val="0099566D"/>
    <w:rsid w:val="00996AFB"/>
    <w:rsid w:val="00996E85"/>
    <w:rsid w:val="009A0478"/>
    <w:rsid w:val="009A4F65"/>
    <w:rsid w:val="009A6DFF"/>
    <w:rsid w:val="009A7D01"/>
    <w:rsid w:val="009B115E"/>
    <w:rsid w:val="009B309C"/>
    <w:rsid w:val="009B31C5"/>
    <w:rsid w:val="009B393F"/>
    <w:rsid w:val="009B675A"/>
    <w:rsid w:val="009C1E32"/>
    <w:rsid w:val="009C2468"/>
    <w:rsid w:val="009C6387"/>
    <w:rsid w:val="009C7E5E"/>
    <w:rsid w:val="009D3BA8"/>
    <w:rsid w:val="009D3D60"/>
    <w:rsid w:val="009D6D1A"/>
    <w:rsid w:val="009D7C26"/>
    <w:rsid w:val="009E1014"/>
    <w:rsid w:val="009E2119"/>
    <w:rsid w:val="009E42F2"/>
    <w:rsid w:val="009E58A2"/>
    <w:rsid w:val="009F4C2C"/>
    <w:rsid w:val="009F50A4"/>
    <w:rsid w:val="009F56E0"/>
    <w:rsid w:val="009F6148"/>
    <w:rsid w:val="009F6819"/>
    <w:rsid w:val="009F752F"/>
    <w:rsid w:val="009F7629"/>
    <w:rsid w:val="00A00753"/>
    <w:rsid w:val="00A038AB"/>
    <w:rsid w:val="00A03FA1"/>
    <w:rsid w:val="00A04296"/>
    <w:rsid w:val="00A048AE"/>
    <w:rsid w:val="00A06B4E"/>
    <w:rsid w:val="00A06F3A"/>
    <w:rsid w:val="00A10074"/>
    <w:rsid w:val="00A13F21"/>
    <w:rsid w:val="00A17019"/>
    <w:rsid w:val="00A2095A"/>
    <w:rsid w:val="00A20F22"/>
    <w:rsid w:val="00A23C65"/>
    <w:rsid w:val="00A255E0"/>
    <w:rsid w:val="00A27A23"/>
    <w:rsid w:val="00A30325"/>
    <w:rsid w:val="00A30367"/>
    <w:rsid w:val="00A31532"/>
    <w:rsid w:val="00A324CC"/>
    <w:rsid w:val="00A33D23"/>
    <w:rsid w:val="00A35467"/>
    <w:rsid w:val="00A4042D"/>
    <w:rsid w:val="00A43F49"/>
    <w:rsid w:val="00A51CB3"/>
    <w:rsid w:val="00A52093"/>
    <w:rsid w:val="00A5388E"/>
    <w:rsid w:val="00A60138"/>
    <w:rsid w:val="00A6234C"/>
    <w:rsid w:val="00A6369E"/>
    <w:rsid w:val="00A65CBE"/>
    <w:rsid w:val="00A748C8"/>
    <w:rsid w:val="00A74F96"/>
    <w:rsid w:val="00A76668"/>
    <w:rsid w:val="00A76981"/>
    <w:rsid w:val="00A81BE3"/>
    <w:rsid w:val="00A84A0F"/>
    <w:rsid w:val="00A85D76"/>
    <w:rsid w:val="00A8612D"/>
    <w:rsid w:val="00A86CDA"/>
    <w:rsid w:val="00A92AA8"/>
    <w:rsid w:val="00A95B31"/>
    <w:rsid w:val="00A967B2"/>
    <w:rsid w:val="00AA1174"/>
    <w:rsid w:val="00AA3FDE"/>
    <w:rsid w:val="00AA4DC7"/>
    <w:rsid w:val="00AA77C6"/>
    <w:rsid w:val="00AB11E2"/>
    <w:rsid w:val="00AB1C92"/>
    <w:rsid w:val="00AB227A"/>
    <w:rsid w:val="00AC226A"/>
    <w:rsid w:val="00AC2709"/>
    <w:rsid w:val="00AC4635"/>
    <w:rsid w:val="00AD0178"/>
    <w:rsid w:val="00AD248C"/>
    <w:rsid w:val="00AD317F"/>
    <w:rsid w:val="00AD430F"/>
    <w:rsid w:val="00AD524C"/>
    <w:rsid w:val="00AD7B78"/>
    <w:rsid w:val="00AE1574"/>
    <w:rsid w:val="00AE17EB"/>
    <w:rsid w:val="00AE6434"/>
    <w:rsid w:val="00AE6DCD"/>
    <w:rsid w:val="00AE75E0"/>
    <w:rsid w:val="00AF2466"/>
    <w:rsid w:val="00AF37F9"/>
    <w:rsid w:val="00AF5C39"/>
    <w:rsid w:val="00AF71B2"/>
    <w:rsid w:val="00B01DD2"/>
    <w:rsid w:val="00B07B68"/>
    <w:rsid w:val="00B117FA"/>
    <w:rsid w:val="00B136B1"/>
    <w:rsid w:val="00B13FD9"/>
    <w:rsid w:val="00B14EA8"/>
    <w:rsid w:val="00B152A0"/>
    <w:rsid w:val="00B1543B"/>
    <w:rsid w:val="00B16AC8"/>
    <w:rsid w:val="00B23433"/>
    <w:rsid w:val="00B31086"/>
    <w:rsid w:val="00B32606"/>
    <w:rsid w:val="00B329B8"/>
    <w:rsid w:val="00B34FE7"/>
    <w:rsid w:val="00B3758D"/>
    <w:rsid w:val="00B40B84"/>
    <w:rsid w:val="00B4354C"/>
    <w:rsid w:val="00B4401C"/>
    <w:rsid w:val="00B44789"/>
    <w:rsid w:val="00B464AE"/>
    <w:rsid w:val="00B46C22"/>
    <w:rsid w:val="00B547D6"/>
    <w:rsid w:val="00B563A3"/>
    <w:rsid w:val="00B60231"/>
    <w:rsid w:val="00B60682"/>
    <w:rsid w:val="00B60F8E"/>
    <w:rsid w:val="00B62629"/>
    <w:rsid w:val="00B64947"/>
    <w:rsid w:val="00B66813"/>
    <w:rsid w:val="00B702F2"/>
    <w:rsid w:val="00B7238E"/>
    <w:rsid w:val="00B73C97"/>
    <w:rsid w:val="00B748F8"/>
    <w:rsid w:val="00B773A3"/>
    <w:rsid w:val="00B802C0"/>
    <w:rsid w:val="00B80471"/>
    <w:rsid w:val="00B84FA8"/>
    <w:rsid w:val="00B9083A"/>
    <w:rsid w:val="00B92F79"/>
    <w:rsid w:val="00B940DC"/>
    <w:rsid w:val="00B95D7D"/>
    <w:rsid w:val="00B97933"/>
    <w:rsid w:val="00B97B81"/>
    <w:rsid w:val="00BA35A9"/>
    <w:rsid w:val="00BA3757"/>
    <w:rsid w:val="00BA541A"/>
    <w:rsid w:val="00BA5CE5"/>
    <w:rsid w:val="00BA6568"/>
    <w:rsid w:val="00BA6FC0"/>
    <w:rsid w:val="00BB028E"/>
    <w:rsid w:val="00BB0396"/>
    <w:rsid w:val="00BB03B0"/>
    <w:rsid w:val="00BB505E"/>
    <w:rsid w:val="00BB5E58"/>
    <w:rsid w:val="00BC02CB"/>
    <w:rsid w:val="00BC55F3"/>
    <w:rsid w:val="00BC75BF"/>
    <w:rsid w:val="00BD1199"/>
    <w:rsid w:val="00BD19F1"/>
    <w:rsid w:val="00BD37E0"/>
    <w:rsid w:val="00BD77C1"/>
    <w:rsid w:val="00BD780E"/>
    <w:rsid w:val="00BE28B2"/>
    <w:rsid w:val="00BE65DC"/>
    <w:rsid w:val="00BE787C"/>
    <w:rsid w:val="00BF2CF5"/>
    <w:rsid w:val="00BF426A"/>
    <w:rsid w:val="00BF526C"/>
    <w:rsid w:val="00BF5CEB"/>
    <w:rsid w:val="00BF7C6B"/>
    <w:rsid w:val="00C028E7"/>
    <w:rsid w:val="00C038DA"/>
    <w:rsid w:val="00C041A7"/>
    <w:rsid w:val="00C078D5"/>
    <w:rsid w:val="00C1146C"/>
    <w:rsid w:val="00C126F9"/>
    <w:rsid w:val="00C12EEB"/>
    <w:rsid w:val="00C148BA"/>
    <w:rsid w:val="00C14D97"/>
    <w:rsid w:val="00C16ACB"/>
    <w:rsid w:val="00C1751B"/>
    <w:rsid w:val="00C217E3"/>
    <w:rsid w:val="00C24E2F"/>
    <w:rsid w:val="00C259AE"/>
    <w:rsid w:val="00C27112"/>
    <w:rsid w:val="00C30BC7"/>
    <w:rsid w:val="00C3165C"/>
    <w:rsid w:val="00C350D1"/>
    <w:rsid w:val="00C372D2"/>
    <w:rsid w:val="00C37EDD"/>
    <w:rsid w:val="00C42325"/>
    <w:rsid w:val="00C42E1D"/>
    <w:rsid w:val="00C43467"/>
    <w:rsid w:val="00C43A70"/>
    <w:rsid w:val="00C43C0A"/>
    <w:rsid w:val="00C44B81"/>
    <w:rsid w:val="00C45650"/>
    <w:rsid w:val="00C45F6B"/>
    <w:rsid w:val="00C53959"/>
    <w:rsid w:val="00C53C9E"/>
    <w:rsid w:val="00C56555"/>
    <w:rsid w:val="00C6077A"/>
    <w:rsid w:val="00C608D3"/>
    <w:rsid w:val="00C61709"/>
    <w:rsid w:val="00C61992"/>
    <w:rsid w:val="00C6372B"/>
    <w:rsid w:val="00C655AA"/>
    <w:rsid w:val="00C663B8"/>
    <w:rsid w:val="00C66DF0"/>
    <w:rsid w:val="00C718EE"/>
    <w:rsid w:val="00C71A5A"/>
    <w:rsid w:val="00C75B03"/>
    <w:rsid w:val="00C77B6C"/>
    <w:rsid w:val="00C77F3B"/>
    <w:rsid w:val="00C80F29"/>
    <w:rsid w:val="00C80FC9"/>
    <w:rsid w:val="00C821EC"/>
    <w:rsid w:val="00C90C14"/>
    <w:rsid w:val="00C91183"/>
    <w:rsid w:val="00C92242"/>
    <w:rsid w:val="00C92AFB"/>
    <w:rsid w:val="00C9495D"/>
    <w:rsid w:val="00C95F3A"/>
    <w:rsid w:val="00C97E06"/>
    <w:rsid w:val="00CA2D45"/>
    <w:rsid w:val="00CA3003"/>
    <w:rsid w:val="00CA4B57"/>
    <w:rsid w:val="00CA4DB0"/>
    <w:rsid w:val="00CA5899"/>
    <w:rsid w:val="00CA610E"/>
    <w:rsid w:val="00CA76C6"/>
    <w:rsid w:val="00CB6C45"/>
    <w:rsid w:val="00CB7CA4"/>
    <w:rsid w:val="00CC2AC3"/>
    <w:rsid w:val="00CC3965"/>
    <w:rsid w:val="00CC47D9"/>
    <w:rsid w:val="00CC4AC1"/>
    <w:rsid w:val="00CC5FF3"/>
    <w:rsid w:val="00CD00EC"/>
    <w:rsid w:val="00CD0659"/>
    <w:rsid w:val="00CD1AD6"/>
    <w:rsid w:val="00CE2E32"/>
    <w:rsid w:val="00CE4603"/>
    <w:rsid w:val="00CE628F"/>
    <w:rsid w:val="00CE6566"/>
    <w:rsid w:val="00CF04E2"/>
    <w:rsid w:val="00CF4577"/>
    <w:rsid w:val="00CF66F8"/>
    <w:rsid w:val="00CF7FD7"/>
    <w:rsid w:val="00D01476"/>
    <w:rsid w:val="00D01E9C"/>
    <w:rsid w:val="00D0227F"/>
    <w:rsid w:val="00D04793"/>
    <w:rsid w:val="00D04EA9"/>
    <w:rsid w:val="00D05A21"/>
    <w:rsid w:val="00D0685F"/>
    <w:rsid w:val="00D1248B"/>
    <w:rsid w:val="00D12FA5"/>
    <w:rsid w:val="00D16AD6"/>
    <w:rsid w:val="00D218A5"/>
    <w:rsid w:val="00D22E1B"/>
    <w:rsid w:val="00D23E7C"/>
    <w:rsid w:val="00D24FA0"/>
    <w:rsid w:val="00D2564C"/>
    <w:rsid w:val="00D2687B"/>
    <w:rsid w:val="00D27E57"/>
    <w:rsid w:val="00D316A4"/>
    <w:rsid w:val="00D40323"/>
    <w:rsid w:val="00D44674"/>
    <w:rsid w:val="00D47639"/>
    <w:rsid w:val="00D51759"/>
    <w:rsid w:val="00D52BAA"/>
    <w:rsid w:val="00D55A6A"/>
    <w:rsid w:val="00D55BA3"/>
    <w:rsid w:val="00D55BD1"/>
    <w:rsid w:val="00D566DA"/>
    <w:rsid w:val="00D60345"/>
    <w:rsid w:val="00D612AC"/>
    <w:rsid w:val="00D61FF3"/>
    <w:rsid w:val="00D6340C"/>
    <w:rsid w:val="00D6362F"/>
    <w:rsid w:val="00D703C0"/>
    <w:rsid w:val="00D723CC"/>
    <w:rsid w:val="00D72707"/>
    <w:rsid w:val="00D7389E"/>
    <w:rsid w:val="00D801BB"/>
    <w:rsid w:val="00D80ADE"/>
    <w:rsid w:val="00D828EB"/>
    <w:rsid w:val="00D83454"/>
    <w:rsid w:val="00D87FD2"/>
    <w:rsid w:val="00D9070A"/>
    <w:rsid w:val="00D91815"/>
    <w:rsid w:val="00D93BF0"/>
    <w:rsid w:val="00D949D8"/>
    <w:rsid w:val="00D964FD"/>
    <w:rsid w:val="00DA7E4B"/>
    <w:rsid w:val="00DB12C3"/>
    <w:rsid w:val="00DB50E1"/>
    <w:rsid w:val="00DB562D"/>
    <w:rsid w:val="00DB74A6"/>
    <w:rsid w:val="00DC5FC3"/>
    <w:rsid w:val="00DC7918"/>
    <w:rsid w:val="00DD2D85"/>
    <w:rsid w:val="00DD32B0"/>
    <w:rsid w:val="00DD5254"/>
    <w:rsid w:val="00DD7059"/>
    <w:rsid w:val="00DE2A31"/>
    <w:rsid w:val="00DE35F8"/>
    <w:rsid w:val="00DE3B89"/>
    <w:rsid w:val="00DF70AC"/>
    <w:rsid w:val="00E015AF"/>
    <w:rsid w:val="00E01E6A"/>
    <w:rsid w:val="00E03630"/>
    <w:rsid w:val="00E03AA5"/>
    <w:rsid w:val="00E03D92"/>
    <w:rsid w:val="00E042F2"/>
    <w:rsid w:val="00E05C6E"/>
    <w:rsid w:val="00E10DF4"/>
    <w:rsid w:val="00E12695"/>
    <w:rsid w:val="00E13969"/>
    <w:rsid w:val="00E13CC7"/>
    <w:rsid w:val="00E148DD"/>
    <w:rsid w:val="00E14ACD"/>
    <w:rsid w:val="00E1705F"/>
    <w:rsid w:val="00E23BC6"/>
    <w:rsid w:val="00E24E26"/>
    <w:rsid w:val="00E3141B"/>
    <w:rsid w:val="00E320DF"/>
    <w:rsid w:val="00E340BD"/>
    <w:rsid w:val="00E34BCD"/>
    <w:rsid w:val="00E37C87"/>
    <w:rsid w:val="00E40337"/>
    <w:rsid w:val="00E40552"/>
    <w:rsid w:val="00E42851"/>
    <w:rsid w:val="00E43AD8"/>
    <w:rsid w:val="00E44D47"/>
    <w:rsid w:val="00E50767"/>
    <w:rsid w:val="00E50926"/>
    <w:rsid w:val="00E5098D"/>
    <w:rsid w:val="00E54220"/>
    <w:rsid w:val="00E5552C"/>
    <w:rsid w:val="00E57115"/>
    <w:rsid w:val="00E57D22"/>
    <w:rsid w:val="00E61CBB"/>
    <w:rsid w:val="00E72FE7"/>
    <w:rsid w:val="00E77031"/>
    <w:rsid w:val="00E80D70"/>
    <w:rsid w:val="00E82660"/>
    <w:rsid w:val="00E83116"/>
    <w:rsid w:val="00E846CF"/>
    <w:rsid w:val="00E9176B"/>
    <w:rsid w:val="00E91AF9"/>
    <w:rsid w:val="00E92D78"/>
    <w:rsid w:val="00E930AD"/>
    <w:rsid w:val="00E934C6"/>
    <w:rsid w:val="00E93A37"/>
    <w:rsid w:val="00E940F5"/>
    <w:rsid w:val="00E94809"/>
    <w:rsid w:val="00EA0305"/>
    <w:rsid w:val="00EA0752"/>
    <w:rsid w:val="00EA07D3"/>
    <w:rsid w:val="00EA0BC2"/>
    <w:rsid w:val="00EA305A"/>
    <w:rsid w:val="00EA3995"/>
    <w:rsid w:val="00EA43FA"/>
    <w:rsid w:val="00EB08DB"/>
    <w:rsid w:val="00EB307B"/>
    <w:rsid w:val="00EB3742"/>
    <w:rsid w:val="00EB6BFB"/>
    <w:rsid w:val="00EC0602"/>
    <w:rsid w:val="00EC1EB5"/>
    <w:rsid w:val="00EC28CD"/>
    <w:rsid w:val="00EC3B30"/>
    <w:rsid w:val="00EC4350"/>
    <w:rsid w:val="00EC5839"/>
    <w:rsid w:val="00EC5F63"/>
    <w:rsid w:val="00ED1195"/>
    <w:rsid w:val="00ED2679"/>
    <w:rsid w:val="00ED5BAE"/>
    <w:rsid w:val="00ED6982"/>
    <w:rsid w:val="00EE1954"/>
    <w:rsid w:val="00EE37C1"/>
    <w:rsid w:val="00EE4D51"/>
    <w:rsid w:val="00EE6AAC"/>
    <w:rsid w:val="00EE7736"/>
    <w:rsid w:val="00EF089F"/>
    <w:rsid w:val="00EF2C13"/>
    <w:rsid w:val="00EF4407"/>
    <w:rsid w:val="00EF6676"/>
    <w:rsid w:val="00F000A3"/>
    <w:rsid w:val="00F04153"/>
    <w:rsid w:val="00F07D4D"/>
    <w:rsid w:val="00F11550"/>
    <w:rsid w:val="00F14A91"/>
    <w:rsid w:val="00F20C8A"/>
    <w:rsid w:val="00F212C3"/>
    <w:rsid w:val="00F30100"/>
    <w:rsid w:val="00F304B9"/>
    <w:rsid w:val="00F30728"/>
    <w:rsid w:val="00F31946"/>
    <w:rsid w:val="00F31C18"/>
    <w:rsid w:val="00F33828"/>
    <w:rsid w:val="00F34F4E"/>
    <w:rsid w:val="00F3603F"/>
    <w:rsid w:val="00F361E3"/>
    <w:rsid w:val="00F37F93"/>
    <w:rsid w:val="00F409E1"/>
    <w:rsid w:val="00F40A41"/>
    <w:rsid w:val="00F41C03"/>
    <w:rsid w:val="00F42142"/>
    <w:rsid w:val="00F42B3C"/>
    <w:rsid w:val="00F43A84"/>
    <w:rsid w:val="00F43DCD"/>
    <w:rsid w:val="00F46090"/>
    <w:rsid w:val="00F474E7"/>
    <w:rsid w:val="00F54B14"/>
    <w:rsid w:val="00F55A49"/>
    <w:rsid w:val="00F5648D"/>
    <w:rsid w:val="00F56AC7"/>
    <w:rsid w:val="00F64DDE"/>
    <w:rsid w:val="00F71486"/>
    <w:rsid w:val="00F72093"/>
    <w:rsid w:val="00F72EFC"/>
    <w:rsid w:val="00F74340"/>
    <w:rsid w:val="00F759F7"/>
    <w:rsid w:val="00F81EFB"/>
    <w:rsid w:val="00F85095"/>
    <w:rsid w:val="00F86FD9"/>
    <w:rsid w:val="00F87A7E"/>
    <w:rsid w:val="00F904FD"/>
    <w:rsid w:val="00F93330"/>
    <w:rsid w:val="00F93660"/>
    <w:rsid w:val="00F95957"/>
    <w:rsid w:val="00F95F2A"/>
    <w:rsid w:val="00FA1D02"/>
    <w:rsid w:val="00FA2917"/>
    <w:rsid w:val="00FA3565"/>
    <w:rsid w:val="00FA7900"/>
    <w:rsid w:val="00FB149F"/>
    <w:rsid w:val="00FB242E"/>
    <w:rsid w:val="00FB312F"/>
    <w:rsid w:val="00FB4597"/>
    <w:rsid w:val="00FB5D93"/>
    <w:rsid w:val="00FC1278"/>
    <w:rsid w:val="00FC1885"/>
    <w:rsid w:val="00FC3DDE"/>
    <w:rsid w:val="00FC4552"/>
    <w:rsid w:val="00FC59E1"/>
    <w:rsid w:val="00FC6AD8"/>
    <w:rsid w:val="00FD094A"/>
    <w:rsid w:val="00FD1CCD"/>
    <w:rsid w:val="00FD2EE2"/>
    <w:rsid w:val="00FD6599"/>
    <w:rsid w:val="00FD7A5D"/>
    <w:rsid w:val="00FE11B9"/>
    <w:rsid w:val="00FE12B6"/>
    <w:rsid w:val="00FE164B"/>
    <w:rsid w:val="00FE4781"/>
    <w:rsid w:val="00FE4CB6"/>
    <w:rsid w:val="00FE4E10"/>
    <w:rsid w:val="00FE5079"/>
    <w:rsid w:val="00FE5641"/>
    <w:rsid w:val="00FF5398"/>
    <w:rsid w:val="00FF689A"/>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2B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B14"/>
    <w:pPr>
      <w:spacing w:after="0" w:line="240" w:lineRule="auto"/>
    </w:pPr>
    <w:rPr>
      <w:rFonts w:ascii="Times New Roman" w:hAnsi="Times New Roman"/>
      <w:sz w:val="24"/>
    </w:rPr>
  </w:style>
  <w:style w:type="paragraph" w:styleId="Heading1">
    <w:name w:val="heading 1"/>
    <w:basedOn w:val="Normal"/>
    <w:next w:val="BodyDoubleSpIndent"/>
    <w:link w:val="Heading1Char"/>
    <w:uiPriority w:val="9"/>
    <w:qFormat/>
    <w:rsid w:val="00A27A23"/>
    <w:pPr>
      <w:keepNext/>
      <w:keepLines/>
      <w:numPr>
        <w:numId w:val="6"/>
      </w:numPr>
      <w:spacing w:line="288" w:lineRule="auto"/>
      <w:jc w:val="center"/>
      <w:outlineLvl w:val="0"/>
    </w:pPr>
    <w:rPr>
      <w:rFonts w:eastAsiaTheme="majorEastAsia" w:cstheme="majorBidi"/>
      <w:b/>
      <w:szCs w:val="32"/>
    </w:rPr>
  </w:style>
  <w:style w:type="paragraph" w:styleId="Heading2">
    <w:name w:val="heading 2"/>
    <w:basedOn w:val="BodyText"/>
    <w:next w:val="BodyDoubleSpIndent"/>
    <w:link w:val="Heading2Char"/>
    <w:uiPriority w:val="9"/>
    <w:unhideWhenUsed/>
    <w:qFormat/>
    <w:rsid w:val="002403B8"/>
    <w:pPr>
      <w:keepNext/>
      <w:keepLines/>
      <w:numPr>
        <w:ilvl w:val="1"/>
        <w:numId w:val="6"/>
      </w:numPr>
      <w:spacing w:before="240" w:after="120" w:line="432" w:lineRule="auto"/>
      <w:outlineLvl w:val="1"/>
    </w:pPr>
    <w:rPr>
      <w:rFonts w:eastAsiaTheme="majorEastAsia" w:cstheme="majorBidi"/>
      <w:b/>
      <w:szCs w:val="26"/>
    </w:rPr>
  </w:style>
  <w:style w:type="paragraph" w:styleId="Heading3">
    <w:name w:val="heading 3"/>
    <w:basedOn w:val="BodyText"/>
    <w:next w:val="BodyDoubleSpIndent"/>
    <w:link w:val="Heading3Char"/>
    <w:uiPriority w:val="9"/>
    <w:unhideWhenUsed/>
    <w:qFormat/>
    <w:rsid w:val="00FE4CB6"/>
    <w:pPr>
      <w:keepNext/>
      <w:keepLines/>
      <w:numPr>
        <w:ilvl w:val="2"/>
        <w:numId w:val="6"/>
      </w:numPr>
      <w:tabs>
        <w:tab w:val="left" w:pos="864"/>
      </w:tabs>
      <w:spacing w:before="240" w:after="120" w:line="360" w:lineRule="auto"/>
      <w:outlineLvl w:val="2"/>
    </w:pPr>
    <w:rPr>
      <w:rFonts w:eastAsiaTheme="majorEastAsia" w:cstheme="majorBidi"/>
      <w:b/>
      <w:szCs w:val="24"/>
    </w:rPr>
  </w:style>
  <w:style w:type="paragraph" w:styleId="Heading4">
    <w:name w:val="heading 4"/>
    <w:basedOn w:val="BodyText"/>
    <w:next w:val="BodyDoubleSpIndent"/>
    <w:link w:val="Heading4Char"/>
    <w:uiPriority w:val="9"/>
    <w:unhideWhenUsed/>
    <w:qFormat/>
    <w:rsid w:val="00A27A23"/>
    <w:pPr>
      <w:keepNext/>
      <w:keepLines/>
      <w:numPr>
        <w:ilvl w:val="3"/>
        <w:numId w:val="6"/>
      </w:numPr>
      <w:spacing w:before="240" w:after="80"/>
      <w:outlineLvl w:val="3"/>
    </w:pPr>
    <w:rPr>
      <w:rFonts w:eastAsiaTheme="majorEastAsia" w:cstheme="majorBidi"/>
      <w:b/>
      <w:iCs/>
    </w:rPr>
  </w:style>
  <w:style w:type="paragraph" w:styleId="Heading5">
    <w:name w:val="heading 5"/>
    <w:basedOn w:val="Normal"/>
    <w:link w:val="Heading5Char"/>
    <w:uiPriority w:val="9"/>
    <w:unhideWhenUsed/>
    <w:qFormat/>
    <w:rsid w:val="00ED1195"/>
    <w:pPr>
      <w:keepNext/>
      <w:keepLines/>
      <w:tabs>
        <w:tab w:val="left" w:pos="432"/>
        <w:tab w:val="left" w:pos="864"/>
        <w:tab w:val="left" w:pos="1296"/>
        <w:tab w:val="left" w:pos="1728"/>
        <w:tab w:val="left" w:pos="2160"/>
        <w:tab w:val="num" w:pos="2592"/>
        <w:tab w:val="left" w:pos="3024"/>
        <w:tab w:val="left" w:pos="3456"/>
        <w:tab w:val="left" w:pos="3888"/>
        <w:tab w:val="left" w:pos="4752"/>
        <w:tab w:val="left" w:pos="5616"/>
      </w:tabs>
      <w:spacing w:line="276" w:lineRule="auto"/>
      <w:ind w:left="2592" w:hanging="432"/>
      <w:outlineLvl w:val="4"/>
    </w:pPr>
    <w:rPr>
      <w:rFonts w:asciiTheme="minorHAnsi" w:eastAsiaTheme="majorEastAsia" w:hAnsiTheme="minorHAnsi" w:cstheme="majorBidi"/>
      <w:sz w:val="22"/>
    </w:rPr>
  </w:style>
  <w:style w:type="paragraph" w:styleId="Heading6">
    <w:name w:val="heading 6"/>
    <w:basedOn w:val="Normal"/>
    <w:link w:val="Heading6Char"/>
    <w:uiPriority w:val="9"/>
    <w:unhideWhenUsed/>
    <w:qFormat/>
    <w:rsid w:val="00ED1195"/>
    <w:pPr>
      <w:keepNext/>
      <w:keepLines/>
      <w:tabs>
        <w:tab w:val="left" w:pos="432"/>
        <w:tab w:val="left" w:pos="864"/>
        <w:tab w:val="left" w:pos="1296"/>
        <w:tab w:val="left" w:pos="1728"/>
        <w:tab w:val="left" w:pos="2160"/>
        <w:tab w:val="left" w:pos="2592"/>
        <w:tab w:val="num" w:pos="3024"/>
        <w:tab w:val="left" w:pos="3456"/>
        <w:tab w:val="left" w:pos="3888"/>
        <w:tab w:val="left" w:pos="4752"/>
        <w:tab w:val="left" w:pos="5616"/>
      </w:tabs>
      <w:spacing w:line="276" w:lineRule="auto"/>
      <w:ind w:left="3024" w:hanging="432"/>
      <w:outlineLvl w:val="5"/>
    </w:pPr>
    <w:rPr>
      <w:rFonts w:asciiTheme="minorHAnsi" w:eastAsiaTheme="majorEastAsia" w:hAnsiTheme="minorHAnsi" w:cstheme="majorBidi"/>
      <w:iCs/>
      <w:color w:val="C00000"/>
      <w:sz w:val="22"/>
    </w:rPr>
  </w:style>
  <w:style w:type="paragraph" w:styleId="Heading7">
    <w:name w:val="heading 7"/>
    <w:basedOn w:val="Normal"/>
    <w:link w:val="Heading7Char"/>
    <w:uiPriority w:val="9"/>
    <w:unhideWhenUsed/>
    <w:qFormat/>
    <w:rsid w:val="00ED1195"/>
    <w:pPr>
      <w:keepNext/>
      <w:keepLines/>
      <w:tabs>
        <w:tab w:val="left" w:pos="432"/>
        <w:tab w:val="left" w:pos="864"/>
        <w:tab w:val="left" w:pos="1296"/>
        <w:tab w:val="left" w:pos="1728"/>
        <w:tab w:val="left" w:pos="2160"/>
        <w:tab w:val="left" w:pos="2592"/>
        <w:tab w:val="left" w:pos="3024"/>
        <w:tab w:val="num" w:pos="3456"/>
        <w:tab w:val="left" w:pos="3888"/>
        <w:tab w:val="left" w:pos="4752"/>
        <w:tab w:val="left" w:pos="5616"/>
      </w:tabs>
      <w:spacing w:line="276" w:lineRule="auto"/>
      <w:ind w:left="3456" w:hanging="432"/>
      <w:outlineLvl w:val="6"/>
    </w:pPr>
    <w:rPr>
      <w:rFonts w:asciiTheme="minorHAnsi" w:eastAsiaTheme="majorEastAsia" w:hAnsiTheme="minorHAnsi" w:cstheme="majorBidi"/>
      <w:iCs/>
      <w:sz w:val="20"/>
    </w:rPr>
  </w:style>
  <w:style w:type="paragraph" w:styleId="Heading8">
    <w:name w:val="heading 8"/>
    <w:basedOn w:val="Normal"/>
    <w:link w:val="Heading8Char"/>
    <w:uiPriority w:val="9"/>
    <w:unhideWhenUsed/>
    <w:qFormat/>
    <w:rsid w:val="00ED1195"/>
    <w:pPr>
      <w:keepNext/>
      <w:keepLines/>
      <w:tabs>
        <w:tab w:val="left" w:pos="432"/>
        <w:tab w:val="left" w:pos="864"/>
        <w:tab w:val="left" w:pos="1296"/>
        <w:tab w:val="left" w:pos="1728"/>
        <w:tab w:val="left" w:pos="2160"/>
        <w:tab w:val="left" w:pos="2592"/>
        <w:tab w:val="left" w:pos="3024"/>
        <w:tab w:val="left" w:pos="3456"/>
        <w:tab w:val="num" w:pos="3888"/>
        <w:tab w:val="left" w:pos="4752"/>
        <w:tab w:val="left" w:pos="5616"/>
      </w:tabs>
      <w:spacing w:line="276" w:lineRule="auto"/>
      <w:ind w:left="3888" w:hanging="432"/>
      <w:outlineLvl w:val="7"/>
    </w:pPr>
    <w:rPr>
      <w:rFonts w:asciiTheme="minorHAnsi" w:eastAsiaTheme="majorEastAsia" w:hAnsiTheme="minorHAnsi" w:cstheme="majorBidi"/>
      <w:color w:val="006600"/>
      <w:sz w:val="20"/>
      <w:szCs w:val="20"/>
    </w:rPr>
  </w:style>
  <w:style w:type="paragraph" w:styleId="Heading9">
    <w:name w:val="heading 9"/>
    <w:basedOn w:val="Normal"/>
    <w:link w:val="Heading9Char"/>
    <w:uiPriority w:val="9"/>
    <w:unhideWhenUsed/>
    <w:qFormat/>
    <w:rsid w:val="00ED1195"/>
    <w:pPr>
      <w:keepNext/>
      <w:keepLines/>
      <w:tabs>
        <w:tab w:val="left" w:pos="432"/>
        <w:tab w:val="left" w:pos="864"/>
        <w:tab w:val="left" w:pos="1296"/>
        <w:tab w:val="left" w:pos="1728"/>
        <w:tab w:val="left" w:pos="2160"/>
        <w:tab w:val="left" w:pos="2592"/>
        <w:tab w:val="left" w:pos="3024"/>
        <w:tab w:val="left" w:pos="3456"/>
        <w:tab w:val="left" w:pos="3888"/>
        <w:tab w:val="num" w:pos="4320"/>
        <w:tab w:val="left" w:pos="4752"/>
        <w:tab w:val="left" w:pos="5616"/>
      </w:tabs>
      <w:spacing w:line="276" w:lineRule="auto"/>
      <w:ind w:left="4320" w:hanging="432"/>
      <w:outlineLvl w:val="8"/>
    </w:pPr>
    <w:rPr>
      <w:rFonts w:asciiTheme="minorHAnsi" w:eastAsiaTheme="majorEastAsia" w:hAnsiTheme="minorHAnsi" w:cstheme="majorBidi"/>
      <w:iCs/>
      <w:color w:val="0000C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figuretext">
    <w:name w:val="JP figure text"/>
    <w:basedOn w:val="Normal"/>
    <w:uiPriority w:val="11"/>
    <w:qFormat/>
    <w:rsid w:val="005C7F00"/>
    <w:rPr>
      <w:rFonts w:ascii="Calibri" w:eastAsia="Times New Roman" w:hAnsi="Calibri" w:cs="Arial"/>
      <w:sz w:val="18"/>
      <w:szCs w:val="18"/>
    </w:rPr>
  </w:style>
  <w:style w:type="paragraph" w:customStyle="1" w:styleId="JPtabletext">
    <w:name w:val="JP table text"/>
    <w:basedOn w:val="JPfiguretext"/>
    <w:uiPriority w:val="11"/>
    <w:qFormat/>
    <w:rsid w:val="005C7F00"/>
    <w:pPr>
      <w:spacing w:before="120" w:after="120"/>
    </w:pPr>
    <w:rPr>
      <w:rFonts w:eastAsiaTheme="minorEastAsia"/>
      <w:sz w:val="22"/>
    </w:rPr>
  </w:style>
  <w:style w:type="paragraph" w:styleId="Footer">
    <w:name w:val="footer"/>
    <w:basedOn w:val="Normal"/>
    <w:link w:val="FooterChar"/>
    <w:uiPriority w:val="99"/>
    <w:unhideWhenUsed/>
    <w:rsid w:val="006E4520"/>
    <w:pPr>
      <w:tabs>
        <w:tab w:val="center" w:pos="4680"/>
        <w:tab w:val="right" w:pos="9360"/>
      </w:tabs>
    </w:pPr>
    <w:rPr>
      <w:sz w:val="22"/>
    </w:rPr>
  </w:style>
  <w:style w:type="character" w:customStyle="1" w:styleId="FooterChar">
    <w:name w:val="Footer Char"/>
    <w:basedOn w:val="DefaultParagraphFont"/>
    <w:link w:val="Footer"/>
    <w:uiPriority w:val="99"/>
    <w:rsid w:val="006E4520"/>
    <w:rPr>
      <w:rFonts w:ascii="Times New Roman" w:hAnsi="Times New Roman"/>
    </w:rPr>
  </w:style>
  <w:style w:type="paragraph" w:styleId="BodyText">
    <w:name w:val="Body Text"/>
    <w:basedOn w:val="Normal"/>
    <w:link w:val="BodyTextChar"/>
    <w:uiPriority w:val="2"/>
    <w:rsid w:val="001C520B"/>
    <w:pPr>
      <w:spacing w:before="60" w:after="60" w:line="288" w:lineRule="auto"/>
    </w:pPr>
  </w:style>
  <w:style w:type="character" w:customStyle="1" w:styleId="BodyTextChar">
    <w:name w:val="Body Text Char"/>
    <w:basedOn w:val="DefaultParagraphFont"/>
    <w:link w:val="BodyText"/>
    <w:uiPriority w:val="2"/>
    <w:rsid w:val="001C520B"/>
    <w:rPr>
      <w:rFonts w:ascii="Times New Roman" w:hAnsi="Times New Roman"/>
      <w:sz w:val="24"/>
    </w:rPr>
  </w:style>
  <w:style w:type="paragraph" w:customStyle="1" w:styleId="BodyDoubleSpIndent">
    <w:name w:val="Body DoubleSp Indent"/>
    <w:basedOn w:val="BodyText"/>
    <w:uiPriority w:val="2"/>
    <w:qFormat/>
    <w:rsid w:val="0083538F"/>
    <w:pPr>
      <w:spacing w:line="432" w:lineRule="auto"/>
      <w:ind w:firstLine="432"/>
    </w:pPr>
  </w:style>
  <w:style w:type="paragraph" w:customStyle="1" w:styleId="BlockQuote">
    <w:name w:val="Block Quote"/>
    <w:basedOn w:val="BodyText"/>
    <w:uiPriority w:val="4"/>
    <w:qFormat/>
    <w:rsid w:val="00A52093"/>
    <w:pPr>
      <w:spacing w:line="264" w:lineRule="auto"/>
      <w:ind w:left="1440" w:right="1440"/>
      <w:jc w:val="both"/>
    </w:pPr>
  </w:style>
  <w:style w:type="paragraph" w:styleId="FootnoteText">
    <w:name w:val="footnote text"/>
    <w:basedOn w:val="BodyText"/>
    <w:link w:val="FootnoteTextChar"/>
    <w:uiPriority w:val="99"/>
    <w:unhideWhenUsed/>
    <w:rsid w:val="001A7101"/>
    <w:pPr>
      <w:spacing w:line="252" w:lineRule="auto"/>
    </w:pPr>
    <w:rPr>
      <w:sz w:val="22"/>
      <w:szCs w:val="20"/>
    </w:rPr>
  </w:style>
  <w:style w:type="character" w:customStyle="1" w:styleId="FootnoteTextChar">
    <w:name w:val="Footnote Text Char"/>
    <w:basedOn w:val="DefaultParagraphFont"/>
    <w:link w:val="FootnoteText"/>
    <w:uiPriority w:val="99"/>
    <w:rsid w:val="001A7101"/>
    <w:rPr>
      <w:rFonts w:ascii="Times New Roman" w:hAnsi="Times New Roman"/>
      <w:szCs w:val="20"/>
    </w:rPr>
  </w:style>
  <w:style w:type="paragraph" w:styleId="ListBullet">
    <w:name w:val="List Bullet"/>
    <w:basedOn w:val="BodyDoubleSpIndent"/>
    <w:uiPriority w:val="3"/>
    <w:unhideWhenUsed/>
    <w:rsid w:val="00CC4AC1"/>
    <w:pPr>
      <w:numPr>
        <w:numId w:val="2"/>
      </w:numPr>
      <w:spacing w:after="180"/>
      <w:ind w:left="432" w:hanging="432"/>
      <w:contextualSpacing/>
    </w:pPr>
  </w:style>
  <w:style w:type="paragraph" w:customStyle="1" w:styleId="ListBulletDoubleSp">
    <w:name w:val="List Bullet DoubleSp"/>
    <w:basedOn w:val="BodyDoubleSpIndent"/>
    <w:uiPriority w:val="3"/>
    <w:qFormat/>
    <w:rsid w:val="001124B5"/>
    <w:pPr>
      <w:numPr>
        <w:numId w:val="3"/>
      </w:numPr>
      <w:ind w:left="432" w:hanging="432"/>
    </w:pPr>
  </w:style>
  <w:style w:type="paragraph" w:customStyle="1" w:styleId="ListNumbDoubleSp">
    <w:name w:val="List Numb DoubleSp"/>
    <w:basedOn w:val="BodyDoubleSpIndent"/>
    <w:uiPriority w:val="3"/>
    <w:qFormat/>
    <w:rsid w:val="00A17019"/>
    <w:pPr>
      <w:numPr>
        <w:numId w:val="5"/>
      </w:numPr>
      <w:ind w:left="864" w:hanging="432"/>
    </w:pPr>
  </w:style>
  <w:style w:type="paragraph" w:styleId="ListNumber">
    <w:name w:val="List Number"/>
    <w:basedOn w:val="BodyText"/>
    <w:uiPriority w:val="3"/>
    <w:unhideWhenUsed/>
    <w:rsid w:val="00CC4AC1"/>
    <w:pPr>
      <w:numPr>
        <w:numId w:val="4"/>
      </w:numPr>
      <w:tabs>
        <w:tab w:val="clear" w:pos="360"/>
      </w:tabs>
      <w:spacing w:before="120" w:after="180" w:line="360" w:lineRule="auto"/>
      <w:ind w:left="432" w:hanging="432"/>
      <w:contextualSpacing/>
    </w:pPr>
  </w:style>
  <w:style w:type="character" w:customStyle="1" w:styleId="Heading1Char">
    <w:name w:val="Heading 1 Char"/>
    <w:basedOn w:val="DefaultParagraphFont"/>
    <w:link w:val="Heading1"/>
    <w:uiPriority w:val="9"/>
    <w:rsid w:val="00A27A2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403B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E4CB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27A23"/>
    <w:rPr>
      <w:rFonts w:ascii="Times New Roman" w:eastAsiaTheme="majorEastAsia" w:hAnsi="Times New Roman" w:cstheme="majorBidi"/>
      <w:b/>
      <w:iCs/>
      <w:sz w:val="24"/>
    </w:rPr>
  </w:style>
  <w:style w:type="character" w:styleId="FootnoteReference">
    <w:name w:val="footnote reference"/>
    <w:basedOn w:val="DefaultParagraphFont"/>
    <w:uiPriority w:val="99"/>
    <w:semiHidden/>
    <w:unhideWhenUsed/>
    <w:rsid w:val="00B23433"/>
    <w:rPr>
      <w:vertAlign w:val="superscript"/>
    </w:rPr>
  </w:style>
  <w:style w:type="paragraph" w:customStyle="1" w:styleId="Heading1notoc">
    <w:name w:val="Heading 1 no toc"/>
    <w:basedOn w:val="Heading1"/>
    <w:next w:val="BodyDoubleSpIndent"/>
    <w:uiPriority w:val="9"/>
    <w:qFormat/>
    <w:rsid w:val="00155B4E"/>
    <w:pPr>
      <w:spacing w:after="120"/>
    </w:pPr>
  </w:style>
  <w:style w:type="paragraph" w:styleId="TOC2">
    <w:name w:val="toc 2"/>
    <w:basedOn w:val="BodyText"/>
    <w:next w:val="Normal"/>
    <w:autoRedefine/>
    <w:uiPriority w:val="39"/>
    <w:unhideWhenUsed/>
    <w:rsid w:val="004776FF"/>
    <w:pPr>
      <w:tabs>
        <w:tab w:val="left" w:pos="432"/>
        <w:tab w:val="right" w:leader="dot" w:pos="9350"/>
      </w:tabs>
      <w:spacing w:before="120" w:after="240" w:line="242" w:lineRule="auto"/>
      <w:ind w:left="432" w:hanging="432"/>
    </w:pPr>
    <w:rPr>
      <w:b/>
    </w:rPr>
  </w:style>
  <w:style w:type="paragraph" w:styleId="TOC1">
    <w:name w:val="toc 1"/>
    <w:basedOn w:val="BodyText"/>
    <w:next w:val="Normal"/>
    <w:autoRedefine/>
    <w:uiPriority w:val="39"/>
    <w:unhideWhenUsed/>
    <w:rsid w:val="0014772A"/>
    <w:pPr>
      <w:tabs>
        <w:tab w:val="right" w:leader="dot" w:pos="9350"/>
      </w:tabs>
      <w:spacing w:before="120" w:after="120"/>
    </w:pPr>
    <w:rPr>
      <w:b/>
    </w:rPr>
  </w:style>
  <w:style w:type="paragraph" w:styleId="TOC3">
    <w:name w:val="toc 3"/>
    <w:basedOn w:val="TOC2"/>
    <w:next w:val="Normal"/>
    <w:autoRedefine/>
    <w:uiPriority w:val="39"/>
    <w:unhideWhenUsed/>
    <w:rsid w:val="004776FF"/>
    <w:pPr>
      <w:tabs>
        <w:tab w:val="left" w:pos="864"/>
      </w:tabs>
      <w:spacing w:after="120"/>
      <w:ind w:left="864"/>
    </w:pPr>
    <w:rPr>
      <w:b w:val="0"/>
    </w:rPr>
  </w:style>
  <w:style w:type="character" w:styleId="Hyperlink">
    <w:name w:val="Hyperlink"/>
    <w:basedOn w:val="DefaultParagraphFont"/>
    <w:uiPriority w:val="99"/>
    <w:unhideWhenUsed/>
    <w:rsid w:val="00671D37"/>
    <w:rPr>
      <w:color w:val="0563C1" w:themeColor="hyperlink"/>
      <w:u w:val="single"/>
    </w:rPr>
  </w:style>
  <w:style w:type="paragraph" w:styleId="TOC4">
    <w:name w:val="toc 4"/>
    <w:basedOn w:val="TOC3"/>
    <w:next w:val="Normal"/>
    <w:autoRedefine/>
    <w:uiPriority w:val="39"/>
    <w:semiHidden/>
    <w:unhideWhenUsed/>
    <w:rsid w:val="003170CC"/>
    <w:pPr>
      <w:tabs>
        <w:tab w:val="clear" w:pos="864"/>
        <w:tab w:val="left" w:pos="1296"/>
      </w:tabs>
    </w:pPr>
  </w:style>
  <w:style w:type="table" w:styleId="TableGrid">
    <w:name w:val="Table Grid"/>
    <w:basedOn w:val="TableNormal"/>
    <w:uiPriority w:val="39"/>
    <w:rsid w:val="00E7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A6905"/>
    <w:rPr>
      <w:rFonts w:cs="Times New Roman"/>
      <w:sz w:val="16"/>
    </w:rPr>
  </w:style>
  <w:style w:type="paragraph" w:styleId="CommentText">
    <w:name w:val="annotation text"/>
    <w:basedOn w:val="Normal"/>
    <w:link w:val="CommentTextChar"/>
    <w:uiPriority w:val="99"/>
    <w:rsid w:val="008A6905"/>
    <w:pPr>
      <w:widowControl w:val="0"/>
      <w:tabs>
        <w:tab w:val="left" w:pos="432"/>
        <w:tab w:val="left" w:pos="864"/>
        <w:tab w:val="left" w:pos="1296"/>
        <w:tab w:val="left" w:pos="1728"/>
        <w:tab w:val="left" w:pos="2160"/>
        <w:tab w:val="left" w:pos="2592"/>
        <w:tab w:val="left" w:pos="3024"/>
        <w:tab w:val="left" w:pos="3456"/>
        <w:tab w:val="left" w:pos="3888"/>
        <w:tab w:val="left" w:pos="4752"/>
        <w:tab w:val="left" w:pos="5616"/>
      </w:tabs>
    </w:pPr>
    <w:rPr>
      <w:rFonts w:eastAsia="Times New Roman" w:cs="Times New Roman"/>
      <w:kern w:val="28"/>
      <w:sz w:val="20"/>
      <w:szCs w:val="20"/>
    </w:rPr>
  </w:style>
  <w:style w:type="character" w:customStyle="1" w:styleId="CommentTextChar">
    <w:name w:val="Comment Text Char"/>
    <w:basedOn w:val="DefaultParagraphFont"/>
    <w:link w:val="CommentText"/>
    <w:uiPriority w:val="99"/>
    <w:rsid w:val="008A6905"/>
    <w:rPr>
      <w:rFonts w:ascii="Times New Roman" w:eastAsia="Times New Roman" w:hAnsi="Times New Roman" w:cs="Times New Roman"/>
      <w:kern w:val="28"/>
      <w:sz w:val="20"/>
      <w:szCs w:val="20"/>
    </w:rPr>
  </w:style>
  <w:style w:type="character" w:customStyle="1" w:styleId="Heading5Char">
    <w:name w:val="Heading 5 Char"/>
    <w:basedOn w:val="DefaultParagraphFont"/>
    <w:link w:val="Heading5"/>
    <w:uiPriority w:val="9"/>
    <w:rsid w:val="00ED1195"/>
    <w:rPr>
      <w:rFonts w:eastAsiaTheme="majorEastAsia" w:cstheme="majorBidi"/>
    </w:rPr>
  </w:style>
  <w:style w:type="character" w:customStyle="1" w:styleId="Heading6Char">
    <w:name w:val="Heading 6 Char"/>
    <w:basedOn w:val="DefaultParagraphFont"/>
    <w:link w:val="Heading6"/>
    <w:uiPriority w:val="9"/>
    <w:rsid w:val="00ED1195"/>
    <w:rPr>
      <w:rFonts w:eastAsiaTheme="majorEastAsia" w:cstheme="majorBidi"/>
      <w:iCs/>
      <w:color w:val="C00000"/>
    </w:rPr>
  </w:style>
  <w:style w:type="character" w:customStyle="1" w:styleId="Heading7Char">
    <w:name w:val="Heading 7 Char"/>
    <w:basedOn w:val="DefaultParagraphFont"/>
    <w:link w:val="Heading7"/>
    <w:uiPriority w:val="9"/>
    <w:rsid w:val="00ED1195"/>
    <w:rPr>
      <w:rFonts w:eastAsiaTheme="majorEastAsia" w:cstheme="majorBidi"/>
      <w:iCs/>
      <w:sz w:val="20"/>
    </w:rPr>
  </w:style>
  <w:style w:type="character" w:customStyle="1" w:styleId="Heading8Char">
    <w:name w:val="Heading 8 Char"/>
    <w:basedOn w:val="DefaultParagraphFont"/>
    <w:link w:val="Heading8"/>
    <w:uiPriority w:val="9"/>
    <w:rsid w:val="00ED1195"/>
    <w:rPr>
      <w:rFonts w:eastAsiaTheme="majorEastAsia" w:cstheme="majorBidi"/>
      <w:color w:val="006600"/>
      <w:sz w:val="20"/>
      <w:szCs w:val="20"/>
    </w:rPr>
  </w:style>
  <w:style w:type="character" w:customStyle="1" w:styleId="Heading9Char">
    <w:name w:val="Heading 9 Char"/>
    <w:basedOn w:val="DefaultParagraphFont"/>
    <w:link w:val="Heading9"/>
    <w:uiPriority w:val="9"/>
    <w:rsid w:val="00ED1195"/>
    <w:rPr>
      <w:rFonts w:eastAsiaTheme="majorEastAsia" w:cstheme="majorBidi"/>
      <w:iCs/>
      <w:color w:val="0000CC"/>
      <w:sz w:val="20"/>
      <w:szCs w:val="20"/>
    </w:rPr>
  </w:style>
  <w:style w:type="paragraph" w:styleId="Header">
    <w:name w:val="header"/>
    <w:basedOn w:val="Normal"/>
    <w:link w:val="HeaderChar"/>
    <w:uiPriority w:val="99"/>
    <w:unhideWhenUsed/>
    <w:rsid w:val="00E50926"/>
    <w:pPr>
      <w:tabs>
        <w:tab w:val="center" w:pos="4680"/>
        <w:tab w:val="right" w:pos="9360"/>
      </w:tabs>
    </w:pPr>
  </w:style>
  <w:style w:type="character" w:customStyle="1" w:styleId="HeaderChar">
    <w:name w:val="Header Char"/>
    <w:basedOn w:val="DefaultParagraphFont"/>
    <w:link w:val="Header"/>
    <w:uiPriority w:val="99"/>
    <w:rsid w:val="00E50926"/>
    <w:rPr>
      <w:rFonts w:ascii="Times New Roman" w:hAnsi="Times New Roman"/>
      <w:sz w:val="24"/>
    </w:rPr>
  </w:style>
  <w:style w:type="character" w:styleId="UnresolvedMention">
    <w:name w:val="Unresolved Mention"/>
    <w:basedOn w:val="DefaultParagraphFont"/>
    <w:uiPriority w:val="99"/>
    <w:semiHidden/>
    <w:unhideWhenUsed/>
    <w:rsid w:val="006200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21A8B"/>
    <w:pPr>
      <w:widowControl/>
      <w:tabs>
        <w:tab w:val="clear" w:pos="432"/>
        <w:tab w:val="clear" w:pos="864"/>
        <w:tab w:val="clear" w:pos="1296"/>
        <w:tab w:val="clear" w:pos="1728"/>
        <w:tab w:val="clear" w:pos="2160"/>
        <w:tab w:val="clear" w:pos="2592"/>
        <w:tab w:val="clear" w:pos="3024"/>
        <w:tab w:val="clear" w:pos="3456"/>
        <w:tab w:val="clear" w:pos="3888"/>
        <w:tab w:val="clear" w:pos="4752"/>
        <w:tab w:val="clear" w:pos="5616"/>
      </w:tabs>
    </w:pPr>
    <w:rPr>
      <w:rFonts w:eastAsiaTheme="minorHAnsi" w:cstheme="minorBidi"/>
      <w:b/>
      <w:bCs/>
      <w:kern w:val="0"/>
    </w:rPr>
  </w:style>
  <w:style w:type="character" w:customStyle="1" w:styleId="CommentSubjectChar">
    <w:name w:val="Comment Subject Char"/>
    <w:basedOn w:val="CommentTextChar"/>
    <w:link w:val="CommentSubject"/>
    <w:uiPriority w:val="99"/>
    <w:semiHidden/>
    <w:rsid w:val="00621A8B"/>
    <w:rPr>
      <w:rFonts w:ascii="Times New Roman" w:eastAsia="Times New Roman" w:hAnsi="Times New Roman" w:cs="Times New Roman"/>
      <w:b/>
      <w:bCs/>
      <w:kern w:val="28"/>
      <w:sz w:val="20"/>
      <w:szCs w:val="20"/>
    </w:rPr>
  </w:style>
  <w:style w:type="paragraph" w:styleId="ListParagraph">
    <w:name w:val="List Paragraph"/>
    <w:basedOn w:val="Normal"/>
    <w:uiPriority w:val="34"/>
    <w:unhideWhenUsed/>
    <w:qFormat/>
    <w:rsid w:val="00742CED"/>
    <w:pPr>
      <w:ind w:left="720"/>
      <w:contextualSpacing/>
    </w:pPr>
  </w:style>
  <w:style w:type="character" w:styleId="FollowedHyperlink">
    <w:name w:val="FollowedHyperlink"/>
    <w:basedOn w:val="DefaultParagraphFont"/>
    <w:uiPriority w:val="99"/>
    <w:semiHidden/>
    <w:unhideWhenUsed/>
    <w:rsid w:val="00100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2346">
      <w:bodyDiv w:val="1"/>
      <w:marLeft w:val="0"/>
      <w:marRight w:val="0"/>
      <w:marTop w:val="0"/>
      <w:marBottom w:val="0"/>
      <w:divBdr>
        <w:top w:val="none" w:sz="0" w:space="0" w:color="auto"/>
        <w:left w:val="none" w:sz="0" w:space="0" w:color="auto"/>
        <w:bottom w:val="none" w:sz="0" w:space="0" w:color="auto"/>
        <w:right w:val="none" w:sz="0" w:space="0" w:color="auto"/>
      </w:divBdr>
    </w:div>
    <w:div w:id="544029579">
      <w:bodyDiv w:val="1"/>
      <w:marLeft w:val="0"/>
      <w:marRight w:val="0"/>
      <w:marTop w:val="0"/>
      <w:marBottom w:val="0"/>
      <w:divBdr>
        <w:top w:val="none" w:sz="0" w:space="0" w:color="auto"/>
        <w:left w:val="none" w:sz="0" w:space="0" w:color="auto"/>
        <w:bottom w:val="none" w:sz="0" w:space="0" w:color="auto"/>
        <w:right w:val="none" w:sz="0" w:space="0" w:color="auto"/>
      </w:divBdr>
    </w:div>
    <w:div w:id="1107232762">
      <w:bodyDiv w:val="1"/>
      <w:marLeft w:val="0"/>
      <w:marRight w:val="0"/>
      <w:marTop w:val="0"/>
      <w:marBottom w:val="0"/>
      <w:divBdr>
        <w:top w:val="none" w:sz="0" w:space="0" w:color="auto"/>
        <w:left w:val="none" w:sz="0" w:space="0" w:color="auto"/>
        <w:bottom w:val="none" w:sz="0" w:space="0" w:color="auto"/>
        <w:right w:val="none" w:sz="0" w:space="0" w:color="auto"/>
      </w:divBdr>
    </w:div>
    <w:div w:id="1351179511">
      <w:bodyDiv w:val="1"/>
      <w:marLeft w:val="0"/>
      <w:marRight w:val="0"/>
      <w:marTop w:val="0"/>
      <w:marBottom w:val="0"/>
      <w:divBdr>
        <w:top w:val="none" w:sz="0" w:space="0" w:color="auto"/>
        <w:left w:val="none" w:sz="0" w:space="0" w:color="auto"/>
        <w:bottom w:val="none" w:sz="0" w:space="0" w:color="auto"/>
        <w:right w:val="none" w:sz="0" w:space="0" w:color="auto"/>
      </w:divBdr>
    </w:div>
    <w:div w:id="1660573216">
      <w:bodyDiv w:val="1"/>
      <w:marLeft w:val="0"/>
      <w:marRight w:val="0"/>
      <w:marTop w:val="0"/>
      <w:marBottom w:val="0"/>
      <w:divBdr>
        <w:top w:val="none" w:sz="0" w:space="0" w:color="auto"/>
        <w:left w:val="none" w:sz="0" w:space="0" w:color="auto"/>
        <w:bottom w:val="none" w:sz="0" w:space="0" w:color="auto"/>
        <w:right w:val="none" w:sz="0" w:space="0" w:color="auto"/>
      </w:divBdr>
    </w:div>
    <w:div w:id="18883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uckduckgo.com/?q=interference+hunting" TargetMode="External"/><Relationship Id="rId13" Type="http://schemas.openxmlformats.org/officeDocument/2006/relationships/hyperlink" Target="https://www.sharetechnote.com/html/Handbook_LTE_MultiCell_Measurement_LTE.html" TargetMode="External"/><Relationship Id="rId18" Type="http://schemas.openxmlformats.org/officeDocument/2006/relationships/hyperlink" Target="https://nam12.safelinks.protection.outlook.com/?url=https%3A%2F%2Fwww.acus.gov%2Fsites%2Fdefault%2Ffiles%2Fdocuments%2F82-4.pdf&amp;data=05%7C01%7C%7C1c6bdd0a4afd4be2889908da68d46985%7C84df9e7fe9f640afb435aaaaaaaaaaaa%7C1%7C0%7C637937558795539033%7CUnknown%7CTWFpbGZsb3d8eyJWIjoiMC4wLjAwMDAiLCJQIjoiV2luMzIiLCJBTiI6Ik1haWwiLCJXVCI6Mn0%3D%7C3000%7C%7C%7C&amp;sdata=q9PE1QheyS9PxWczz1zh4ysU8nLCd5%2BodKUpFqCDhKc%3D&amp;reserved=0" TargetMode="External"/><Relationship Id="rId3" Type="http://schemas.openxmlformats.org/officeDocument/2006/relationships/hyperlink" Target="https://nam12.safelinks.protection.outlook.com/?url=https%3A%2F%2Fwww.transportation.gov%2Fresearch-and-technology%2Fanalysis-2016-proposed-changes-existing-out-band-emissions-oobe-rules&amp;data=05%7C01%7C%7Cded646b090e54e27c9ac08da68448a18%7C84df9e7fe9f640afb435aaaaaaaaaaaa%7C1%7C0%7C637936940833525682%7CUnknown%7CTWFpbGZsb3d8eyJWIjoiMC4wLjAwMDAiLCJQIjoiV2luMzIiLCJBTiI6Ik1haWwiLCJXVCI6Mn0%3D%7C3000%7C%7C%7C&amp;sdata=pJnv6LVtSi887ucGcnRPcvuRy3wYZEo41pODnftcuIY%3D&amp;reserved=0" TargetMode="External"/><Relationship Id="rId7" Type="http://schemas.openxmlformats.org/officeDocument/2006/relationships/hyperlink" Target="https://ieeexplore.ieee.org/document/8022976" TargetMode="External"/><Relationship Id="rId12" Type="http://schemas.openxmlformats.org/officeDocument/2006/relationships/hyperlink" Target="https://papers.ssrn.com/abstract=2032312" TargetMode="External"/><Relationship Id="rId17" Type="http://schemas.openxmlformats.org/officeDocument/2006/relationships/hyperlink" Target="https://eudl.eu/doi/10.4108/icst.crowncom.2012.248690" TargetMode="External"/><Relationship Id="rId2" Type="http://schemas.openxmlformats.org/officeDocument/2006/relationships/hyperlink" Target="https://transition.fcc.gov/oet/tac/tacdocs/reports/2016/A-Study-to-Develop-a-Next-Generation-System-Architecture-V1.0.pdf" TargetMode="External"/><Relationship Id="rId16" Type="http://schemas.openxmlformats.org/officeDocument/2006/relationships/hyperlink" Target="https://transition.fcc.gov/bureaus/oet/tac/tacdocs/meeting121015/Principles-White-Paper-Release-1.1.pdf" TargetMode="External"/><Relationship Id="rId1" Type="http://schemas.openxmlformats.org/officeDocument/2006/relationships/hyperlink" Target="https://transition.fcc.gov/oet/tac/tacdocs/reports/TACInterferenceLimitsIntrov1.0.pdf" TargetMode="External"/><Relationship Id="rId6" Type="http://schemas.openxmlformats.org/officeDocument/2006/relationships/hyperlink" Target="https://www.faa.gov/documentLibrary/media/Order/FAA_Order_8040.4B.pdf" TargetMode="External"/><Relationship Id="rId11" Type="http://schemas.openxmlformats.org/officeDocument/2006/relationships/hyperlink" Target="https://web.archive.org/web/20080728142003/http:/www.ofcom.org.uk/radiocomms/isu/sursguide/sursguide.pdf" TargetMode="External"/><Relationship Id="rId5" Type="http://schemas.openxmlformats.org/officeDocument/2006/relationships/hyperlink" Target="https://www.federalregister.gov/documents/2018/01/31/2018-01901/an-approach-for-using-probabilistic-risk-assessment-in-risk-informed-decisions-on-plant-specific" TargetMode="External"/><Relationship Id="rId15" Type="http://schemas.openxmlformats.org/officeDocument/2006/relationships/hyperlink" Target="https://transition.fcc.gov/bureaus/oet/tac/tacdocs/WhitePaperTACInterferenceLimitsv1.0.pdf" TargetMode="External"/><Relationship Id="rId10" Type="http://schemas.openxmlformats.org/officeDocument/2006/relationships/hyperlink" Target="https://its.ntia.gov/research-topics/spectrum-management-r-d/spectrum-monitoring" TargetMode="External"/><Relationship Id="rId19" Type="http://schemas.openxmlformats.org/officeDocument/2006/relationships/hyperlink" Target="https://www.acus.gov/sites/default/files/documents/1982-04%20Procedures%20for%20Negotiating%20Proposed%20Regulations.pdf" TargetMode="External"/><Relationship Id="rId4" Type="http://schemas.openxmlformats.org/officeDocument/2006/relationships/hyperlink" Target="https://nam12.safelinks.protection.outlook.com/?url=https%3A%2F%2Fwww.ntia.gov%2Ffcc-filing%2F2021%2Fntia-comments-regarding-24-ghz-emission-limits&amp;data=05%7C01%7C%7Cded646b090e54e27c9ac08da68448a18%7C84df9e7fe9f640afb435aaaaaaaaaaaa%7C1%7C0%7C637936940833525682%7CUnknown%7CTWFpbGZsb3d8eyJWIjoiMC4wLjAwMDAiLCJQIjoiV2luMzIiLCJBTiI6Ik1haWwiLCJXVCI6Mn0%3D%7C3000%7C%7C%7C&amp;sdata=OSK4QCSF6SflKwhuQ2cuyjtrejtRH4Te7wo%2FnDHFYME%3D&amp;reserved=0" TargetMode="External"/><Relationship Id="rId9" Type="http://schemas.openxmlformats.org/officeDocument/2006/relationships/hyperlink" Target="https://duckduckgo.com/?q=rf+drive+test" TargetMode="External"/><Relationship Id="rId14" Type="http://schemas.openxmlformats.org/officeDocument/2006/relationships/hyperlink" Target="https://rcrwireless.com/20220504/5g/what-is-minimization-of-drive-tests-mdt-in-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F4DD-1FAB-47CD-9291-3597AE73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5042</Words>
  <Characters>28843</Characters>
  <Application>Microsoft Office Word</Application>
  <DocSecurity>6</DocSecurity>
  <Lines>472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2022-07-26T18:07:00Z</dcterms:created>
  <dcterms:modified xsi:type="dcterms:W3CDTF">2022-07-26T18:07:00Z</dcterms:modified>
</cp:coreProperties>
</file>